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大围河回族满族乡权责清单事项分表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bCs/>
          <w:sz w:val="32"/>
          <w:szCs w:val="32"/>
          <w:lang w:val="en-US" w:eastAsia="zh-CN"/>
        </w:rPr>
        <w:t>（公共服务59项）</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单位：大围河回族满族乡人民政府（公章）</w:t>
      </w:r>
    </w:p>
    <w:tbl>
      <w:tblPr>
        <w:tblStyle w:val="2"/>
        <w:tblpPr w:leftFromText="180" w:rightFromText="180" w:vertAnchor="text" w:tblpXSpec="center" w:tblpY="1"/>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54"/>
        <w:gridCol w:w="1440"/>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lang w:eastAsia="zh-CN"/>
              </w:rPr>
              <w:t>序号</w:t>
            </w:r>
          </w:p>
        </w:tc>
        <w:tc>
          <w:tcPr>
            <w:tcW w:w="1054"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权力类型</w:t>
            </w:r>
          </w:p>
        </w:tc>
        <w:tc>
          <w:tcPr>
            <w:tcW w:w="144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权力事项</w:t>
            </w:r>
          </w:p>
        </w:tc>
        <w:tc>
          <w:tcPr>
            <w:tcW w:w="1247"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行政主体</w:t>
            </w:r>
          </w:p>
        </w:tc>
        <w:tc>
          <w:tcPr>
            <w:tcW w:w="192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实施依据</w:t>
            </w:r>
          </w:p>
        </w:tc>
        <w:tc>
          <w:tcPr>
            <w:tcW w:w="30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责任事项</w:t>
            </w:r>
          </w:p>
        </w:tc>
        <w:tc>
          <w:tcPr>
            <w:tcW w:w="30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追责情形</w:t>
            </w:r>
          </w:p>
        </w:tc>
        <w:tc>
          <w:tcPr>
            <w:tcW w:w="13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sz w:val="18"/>
                <w:szCs w:val="1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3"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vertAlign w:val="baseline"/>
                <w:lang w:eastAsia="zh-CN"/>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1054" w:type="dxa"/>
            <w:noWrap w:val="0"/>
            <w:vAlign w:val="center"/>
          </w:tcPr>
          <w:p>
            <w:pPr>
              <w:tabs>
                <w:tab w:val="left" w:pos="7937"/>
              </w:tabs>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法律援助咨询</w:t>
            </w:r>
          </w:p>
        </w:tc>
        <w:tc>
          <w:tcPr>
            <w:tcW w:w="1247"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tabs>
                <w:tab w:val="left" w:pos="7937"/>
              </w:tabs>
              <w:spacing w:line="260" w:lineRule="exact"/>
              <w:jc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人民调解服务</w:t>
            </w:r>
          </w:p>
        </w:tc>
        <w:tc>
          <w:tcPr>
            <w:tcW w:w="124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top"/>
          </w:tcPr>
          <w:p>
            <w:pPr>
              <w:keepNext w:val="0"/>
              <w:keepLines w:val="0"/>
              <w:widowControl/>
              <w:suppressLineNumbers w:val="0"/>
              <w:jc w:val="center"/>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3"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职业供求信息、市场工作指导价位信息和职业培训信息发布</w:t>
            </w:r>
          </w:p>
        </w:tc>
        <w:tc>
          <w:tcPr>
            <w:tcW w:w="124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color w:val="auto"/>
                <w:kern w:val="2"/>
                <w:sz w:val="18"/>
                <w:szCs w:val="18"/>
                <w:vertAlign w:val="baseline"/>
                <w:lang w:val="en-US" w:eastAsia="zh-CN" w:bidi="ar-SA"/>
              </w:rPr>
              <w:t>子女生育登记</w:t>
            </w:r>
          </w:p>
        </w:tc>
        <w:tc>
          <w:tcPr>
            <w:tcW w:w="1247" w:type="dxa"/>
            <w:noWrap w:val="0"/>
            <w:vAlign w:val="center"/>
          </w:tcPr>
          <w:p>
            <w:pPr>
              <w:spacing w:line="260" w:lineRule="exact"/>
              <w:ind w:firstLine="210" w:firstLineChars="0"/>
              <w:rPr>
                <w:rFonts w:hint="eastAsia" w:asciiTheme="minorEastAsia" w:hAnsiTheme="minorEastAsia" w:eastAsiaTheme="minorEastAsia" w:cstheme="minorEastAsia"/>
                <w:color w:val="auto"/>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国家免疫规划疫苗免费接种</w:t>
            </w:r>
          </w:p>
        </w:tc>
        <w:tc>
          <w:tcPr>
            <w:tcW w:w="1247" w:type="dxa"/>
            <w:noWrap w:val="0"/>
            <w:vAlign w:val="center"/>
          </w:tcPr>
          <w:p>
            <w:pPr>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8"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救灾捐赠款物代收</w:t>
            </w:r>
          </w:p>
        </w:tc>
        <w:tc>
          <w:tcPr>
            <w:tcW w:w="1247" w:type="dxa"/>
            <w:noWrap w:val="0"/>
            <w:vAlign w:val="center"/>
          </w:tcPr>
          <w:p>
            <w:pPr>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救灾捐赠凭证出具</w:t>
            </w:r>
          </w:p>
        </w:tc>
        <w:tc>
          <w:tcPr>
            <w:tcW w:w="1247" w:type="dxa"/>
            <w:noWrap w:val="0"/>
            <w:vAlign w:val="center"/>
          </w:tcPr>
          <w:p>
            <w:pPr>
              <w:spacing w:line="260" w:lineRule="exac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3、决定责任；作出行政许可或者不予行政许可决定，法定告知（不予许可的应当书面告知理由）。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4、送达责任：准予许可的制发送达许可证，按规定信息公开。</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5、其他法律法规规章文件规定应履行的责任。</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rPr>
              <w:t>灵活就业人员</w:t>
            </w:r>
            <w:r>
              <w:rPr>
                <w:rFonts w:hint="eastAsia" w:asciiTheme="minorEastAsia" w:hAnsiTheme="minorEastAsia" w:eastAsiaTheme="minorEastAsia" w:cstheme="minorEastAsia"/>
                <w:sz w:val="18"/>
                <w:szCs w:val="18"/>
                <w:lang w:eastAsia="zh-CN"/>
              </w:rPr>
              <w:t>基本养老</w:t>
            </w:r>
            <w:r>
              <w:rPr>
                <w:rFonts w:hint="eastAsia" w:asciiTheme="minorEastAsia" w:hAnsiTheme="minorEastAsia" w:eastAsiaTheme="minorEastAsia" w:cstheme="minorEastAsia"/>
                <w:sz w:val="18"/>
                <w:szCs w:val="18"/>
              </w:rPr>
              <w:t>保险</w:t>
            </w:r>
            <w:r>
              <w:rPr>
                <w:rFonts w:hint="eastAsia" w:asciiTheme="minorEastAsia" w:hAnsiTheme="minorEastAsia" w:eastAsiaTheme="minorEastAsia" w:cstheme="minorEastAsia"/>
                <w:sz w:val="18"/>
                <w:szCs w:val="18"/>
                <w:lang w:eastAsia="zh-CN"/>
              </w:rPr>
              <w:t>参保登记</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r>
              <w:rPr>
                <w:rFonts w:hint="eastAsia" w:asciiTheme="minorEastAsia" w:hAnsiTheme="minorEastAsia" w:eastAsiaTheme="minorEastAsia" w:cstheme="minorEastAsia"/>
                <w:i w:val="0"/>
                <w:color w:val="000000"/>
                <w:kern w:val="0"/>
                <w:sz w:val="18"/>
                <w:szCs w:val="18"/>
                <w:u w:val="none"/>
                <w:lang w:val="en-US" w:eastAsia="zh-CN" w:bidi="ar"/>
              </w:rPr>
              <w:br w:type="textWrapping"/>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rPr>
              <w:t>城乡居民基本养老保险</w:t>
            </w:r>
            <w:r>
              <w:rPr>
                <w:rFonts w:hint="eastAsia" w:asciiTheme="minorEastAsia" w:hAnsiTheme="minorEastAsia" w:eastAsiaTheme="minorEastAsia" w:cstheme="minorEastAsia"/>
                <w:sz w:val="18"/>
                <w:szCs w:val="18"/>
                <w:lang w:eastAsia="zh-CN"/>
              </w:rPr>
              <w:t>参保登记</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人员参保暂停（封存）申请</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人员参保恢复（解封）申请</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居民养老保险注销登记（缴费人员）</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居民养老保险注销登记撤销（缴费人员）</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both"/>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城乡居民养老保险个人参保信息维护申请</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居民养老保险补缴申请</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jc w:val="both"/>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灵活就业人员特殊缴费核定</w:t>
            </w:r>
          </w:p>
        </w:tc>
        <w:tc>
          <w:tcPr>
            <w:tcW w:w="1247" w:type="dxa"/>
            <w:noWrap w:val="0"/>
            <w:vAlign w:val="center"/>
          </w:tcPr>
          <w:p>
            <w:pPr>
              <w:spacing w:line="260" w:lineRule="exact"/>
              <w:jc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jc w:val="center"/>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企业职工基本养老保险与城乡居民基本养老保险制度衔接申请（城转乡）</w:t>
            </w:r>
          </w:p>
        </w:tc>
        <w:tc>
          <w:tcPr>
            <w:tcW w:w="124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vertAlign w:val="baseline"/>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城乡居民养老保险待遇申领</w:t>
            </w:r>
          </w:p>
        </w:tc>
        <w:tc>
          <w:tcPr>
            <w:tcW w:w="124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居民养老保险注销登记（待遇人员）</w:t>
            </w:r>
          </w:p>
        </w:tc>
        <w:tc>
          <w:tcPr>
            <w:tcW w:w="1247"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keepNext w:val="0"/>
              <w:keepLines w:val="0"/>
              <w:widowControl/>
              <w:numPr>
                <w:ilvl w:val="0"/>
                <w:numId w:val="0"/>
              </w:numPr>
              <w:suppressLineNumbers w:val="0"/>
              <w:ind w:left="0" w:leftChars="0" w:firstLine="0" w:firstLineChars="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tabs>
                <w:tab w:val="left" w:pos="7937"/>
              </w:tabs>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lang w:val="en-US" w:eastAsia="zh-CN" w:bidi="ar-SA"/>
              </w:rPr>
              <w:t>领取养老金人员待遇资格认证</w:t>
            </w:r>
          </w:p>
        </w:tc>
        <w:tc>
          <w:tcPr>
            <w:tcW w:w="1247"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kern w:val="2"/>
                <w:sz w:val="18"/>
                <w:szCs w:val="18"/>
                <w:lang w:val="en-US" w:eastAsia="zh-CN" w:bidi="ar-SA"/>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城乡居民养老保险待遇撤销申请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城乡居民养老保险待遇零星调整申请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城乡居民养老保险待遇暂停申请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城乡居民养老保险待遇恢复申请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城乡居民养老保险待遇补发申请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sz w:val="18"/>
                <w:szCs w:val="18"/>
                <w:lang w:eastAsia="zh-CN"/>
              </w:rPr>
            </w:pPr>
            <w:r>
              <w:rPr>
                <w:rFonts w:hint="eastAsia" w:asciiTheme="minorEastAsia" w:hAnsiTheme="minorEastAsia" w:eastAsiaTheme="minorEastAsia" w:cstheme="minorEastAsia"/>
                <w:color w:val="auto"/>
                <w:kern w:val="2"/>
                <w:sz w:val="18"/>
                <w:szCs w:val="18"/>
                <w:vertAlign w:val="baseline"/>
                <w:lang w:val="en-US" w:eastAsia="zh-CN" w:bidi="ar-SA"/>
              </w:rPr>
              <w:t>公共服务</w:t>
            </w: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城乡居民养老保险待遇退回申请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居民养老保险注销登记撤销（待遇人员）</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城乡居民基本养老保险关系转移接续申请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养老保险供养亲属领取待遇资格认证</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企业退休人员社会化管理服务（社区登记）</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企业退休人员社会化管理服务（社区变更）</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失业补助金申领</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价格临时补贴发放</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8"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失业保险待遇暂停申请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失业保险待遇恢复申请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失业保险待遇终止</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职业介绍</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职业指导</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创业开业指导</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创业培训报名</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公共就业服务专项活动</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退役军人信息登记服务</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贫困残疾人辅具适配服务</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0-6岁残疾儿童康复救助</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求职登记服务</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就业登记</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失业登记</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《就业创业证》申领</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创业担保贷款申请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灵活就业人员社会保险补贴申领</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就业困难人员认定</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领取一级至四级伤残职工工伤保险长期待遇资格认证</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领取因工死亡职工供养亲属待遇资格确认</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受理农村土地承包经营纠纷仲裁申请</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城乡居民参保登记</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城乡居民参保信息变更登记</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职工参保登记</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bookmarkStart w:id="1" w:name="_GoBack" w:colFirst="3" w:colLast="3"/>
          </w:p>
        </w:tc>
        <w:tc>
          <w:tcPr>
            <w:tcW w:w="1054" w:type="dxa"/>
            <w:noWrap w:val="0"/>
            <w:vAlign w:val="center"/>
          </w:tcPr>
          <w:p>
            <w:pPr>
              <w:spacing w:line="260" w:lineRule="exact"/>
              <w:jc w:val="center"/>
              <w:rPr>
                <w:rFonts w:hint="eastAsia" w:asciiTheme="minorEastAsia" w:hAnsiTheme="minorEastAsia" w:eastAsiaTheme="minorEastAsia" w:cstheme="minorEastAsia"/>
                <w:color w:val="auto"/>
                <w:kern w:val="2"/>
                <w:sz w:val="18"/>
                <w:szCs w:val="18"/>
                <w:vertAlign w:val="baseline"/>
                <w:lang w:val="en-US" w:eastAsia="zh-CN" w:bidi="ar-SA"/>
              </w:rPr>
            </w:pPr>
          </w:p>
        </w:tc>
        <w:tc>
          <w:tcPr>
            <w:tcW w:w="1440" w:type="dxa"/>
            <w:noWrap w:val="0"/>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18"/>
                <w:szCs w:val="18"/>
                <w:u w:val="none"/>
                <w:lang w:val="en-US" w:eastAsia="zh-CN" w:bidi="ar"/>
              </w:rPr>
            </w:pPr>
            <w:r>
              <w:rPr>
                <w:rFonts w:hint="default" w:asciiTheme="minorEastAsia" w:hAnsiTheme="minorEastAsia" w:eastAsiaTheme="minorEastAsia" w:cstheme="minorEastAsia"/>
                <w:i w:val="0"/>
                <w:color w:val="000000"/>
                <w:kern w:val="0"/>
                <w:sz w:val="18"/>
                <w:szCs w:val="18"/>
                <w:u w:val="none"/>
                <w:lang w:val="en-US" w:eastAsia="zh-CN" w:bidi="ar"/>
              </w:rPr>
              <w:t>医疗救助对象手工（零星）报销</w:t>
            </w:r>
          </w:p>
        </w:tc>
        <w:tc>
          <w:tcPr>
            <w:tcW w:w="1247" w:type="dxa"/>
            <w:noWrap w:val="0"/>
            <w:vAlign w:val="center"/>
          </w:tcPr>
          <w:p>
            <w:pPr>
              <w:spacing w:line="260" w:lineRule="exact"/>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2"/>
                <w:sz w:val="18"/>
                <w:szCs w:val="18"/>
                <w:vertAlign w:val="baseline"/>
                <w:lang w:val="en-US" w:eastAsia="zh-CN" w:bidi="ar-SA"/>
              </w:rPr>
              <w:t>大围河回族满族乡人民政府</w:t>
            </w:r>
          </w:p>
        </w:tc>
        <w:tc>
          <w:tcPr>
            <w:tcW w:w="1921" w:type="dxa"/>
            <w:noWrap w:val="0"/>
            <w:vAlign w:val="center"/>
          </w:tcPr>
          <w:p>
            <w:pPr>
              <w:spacing w:line="260" w:lineRule="exact"/>
              <w:rPr>
                <w:rFonts w:hint="eastAsia" w:asciiTheme="minorEastAsia" w:hAnsiTheme="minorEastAsia" w:eastAsiaTheme="minorEastAsia" w:cstheme="minorEastAsia"/>
                <w:kern w:val="2"/>
                <w:sz w:val="18"/>
                <w:szCs w:val="18"/>
                <w:lang w:val="en-US" w:eastAsia="zh-CN" w:bidi="ar-SA"/>
              </w:rPr>
            </w:pPr>
            <w:r>
              <w:rPr>
                <w:rFonts w:hint="eastAsia" w:asciiTheme="minorEastAsia" w:hAnsiTheme="minorEastAsia" w:eastAsiaTheme="minorEastAsia" w:cstheme="minorEastAsia"/>
                <w:kern w:val="2"/>
                <w:sz w:val="18"/>
                <w:szCs w:val="18"/>
                <w:vertAlign w:val="baseline"/>
                <w:lang w:val="en-US" w:eastAsia="zh-CN" w:bidi="ar-SA"/>
              </w:rPr>
              <w:t>冀政务办[2023]83号</w:t>
            </w:r>
          </w:p>
        </w:tc>
        <w:tc>
          <w:tcPr>
            <w:tcW w:w="3075" w:type="dxa"/>
            <w:noWrap w:val="0"/>
            <w:vAlign w:val="top"/>
          </w:tcPr>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1、受理责任：公示应当提交的材料，一次性告知补正材料，依法受理或不予受理（不予受理应当告知理由）。</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2、审查责任：按照法律法规及相关政策，对书面申请材料进行审查。</w:t>
            </w:r>
          </w:p>
          <w:p>
            <w:pPr>
              <w:keepNext w:val="0"/>
              <w:keepLines w:val="0"/>
              <w:widowControl/>
              <w:numPr>
                <w:ilvl w:val="0"/>
                <w:numId w:val="0"/>
              </w:numPr>
              <w:suppressLineNumbers w:val="0"/>
              <w:ind w:leftChars="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lang w:val="en-US" w:eastAsia="zh-CN"/>
              </w:rPr>
            </w:pPr>
          </w:p>
        </w:tc>
        <w:tc>
          <w:tcPr>
            <w:tcW w:w="30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 xml:space="preserve">因不履行或不正确履行行政职责，有下列情形的，行政机关及相关工作人员应当承担相应的责任：                        1.对符合法定条件的许可申请不予受理的。                                 2.对不符合法定条件的申请人准许行政许可或超越法定职权作出准予行政许可决定的。                                3.对符合法定条件的申请人不予行政许可或者不在法定期限内作出准许行政许可决定的。                                        4.不依法履行监督职责或者监督不力的。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5.违法法定程序实施行政许可的。     6.应当举行听证而不听证的。         7.工作中玩忽职守、滥用职权的。     8.监督检查，索要或者收受他人财物或者谋取其他利益的。                   9.其他法律法规文件规定的行为。</w:t>
            </w:r>
          </w:p>
        </w:tc>
        <w:tc>
          <w:tcPr>
            <w:tcW w:w="1375" w:type="dxa"/>
            <w:noWrap w:val="0"/>
            <w:vAlign w:val="center"/>
          </w:tcPr>
          <w:p>
            <w:pPr>
              <w:tabs>
                <w:tab w:val="left" w:pos="7937"/>
              </w:tabs>
              <w:spacing w:line="260" w:lineRule="exact"/>
              <w:jc w:val="center"/>
              <w:rPr>
                <w:rFonts w:hint="eastAsia" w:asciiTheme="minorEastAsia" w:hAnsiTheme="minorEastAsia" w:eastAsiaTheme="minorEastAsia" w:cstheme="minorEastAsia"/>
                <w:color w:val="FF0000"/>
                <w:sz w:val="18"/>
                <w:szCs w:val="18"/>
                <w:lang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D6990"/>
    <w:rsid w:val="097E745E"/>
    <w:rsid w:val="1A1B56D8"/>
    <w:rsid w:val="271802B6"/>
    <w:rsid w:val="2B6C525A"/>
    <w:rsid w:val="4B887BF4"/>
    <w:rsid w:val="4E840C4E"/>
    <w:rsid w:val="6EF423BF"/>
    <w:rsid w:val="78C52CF3"/>
    <w:rsid w:val="7EBD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2024-06-19T02:34:00Z</dcterms:created>
  <dc:creator>YANG=</dc:creator>
  <cp:lastModifiedBy>YANG=</cp:lastModifiedBy>
  <dcterms:modified xsi:type="dcterms:W3CDTF">2024-06-19T08:18:31Z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