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rPr>
          <w:rFonts w:hint="eastAsia" w:asciiTheme="majorEastAsia" w:hAnsiTheme="majorEastAsia" w:eastAsiaTheme="majorEastAsia" w:cstheme="majorEastAsia"/>
          <w:b/>
          <w:bCs/>
          <w:sz w:val="44"/>
          <w:szCs w:val="44"/>
          <w:lang w:val="en-US" w:eastAsia="zh-CN"/>
        </w:rPr>
      </w:pPr>
      <w:bookmarkStart w:id="0" w:name="_GoBack"/>
      <w:bookmarkEnd w:id="0"/>
      <w:r>
        <w:rPr>
          <w:rFonts w:hint="eastAsia" w:asciiTheme="majorEastAsia" w:hAnsiTheme="majorEastAsia" w:eastAsiaTheme="majorEastAsia" w:cstheme="majorEastAsia"/>
          <w:b/>
          <w:bCs/>
          <w:sz w:val="44"/>
          <w:szCs w:val="44"/>
          <w:lang w:val="en-US" w:eastAsia="zh-CN"/>
        </w:rPr>
        <w:t>责任事项和追责情形依据分表</w:t>
      </w:r>
    </w:p>
    <w:p>
      <w:pPr>
        <w:keepNext w:val="0"/>
        <w:keepLines w:val="0"/>
        <w:pageBreakBefore w:val="0"/>
        <w:kinsoku/>
        <w:wordWrap/>
        <w:overflowPunct/>
        <w:topLinePunct w:val="0"/>
        <w:autoSpaceDE/>
        <w:autoSpaceDN/>
        <w:bidi w:val="0"/>
        <w:adjustRightInd/>
        <w:snapToGrid/>
        <w:spacing w:before="0" w:beforeLines="0" w:after="0" w:afterLines="0" w:line="600" w:lineRule="exact"/>
        <w:ind w:right="0" w:righ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单位：兴隆宫镇人民政府（公章）</w:t>
      </w:r>
    </w:p>
    <w:tbl>
      <w:tblPr>
        <w:tblStyle w:val="2"/>
        <w:tblpPr w:leftFromText="180" w:rightFromText="180" w:vertAnchor="text" w:tblpXSpec="center" w:tblpY="1"/>
        <w:tblOverlap w:val="never"/>
        <w:tblW w:w="13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475"/>
        <w:gridCol w:w="5250"/>
        <w:gridCol w:w="4862"/>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9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序号</w:t>
            </w:r>
          </w:p>
        </w:tc>
        <w:tc>
          <w:tcPr>
            <w:tcW w:w="1475"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权力事项</w:t>
            </w:r>
          </w:p>
        </w:tc>
        <w:tc>
          <w:tcPr>
            <w:tcW w:w="525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责任事项依据</w:t>
            </w:r>
          </w:p>
        </w:tc>
        <w:tc>
          <w:tcPr>
            <w:tcW w:w="4862"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追责情形依据</w:t>
            </w:r>
          </w:p>
        </w:tc>
        <w:tc>
          <w:tcPr>
            <w:tcW w:w="1450" w:type="dxa"/>
            <w:noWrap w:val="0"/>
            <w:vAlign w:val="center"/>
          </w:tcPr>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承包期内需调整承包地批准</w:t>
            </w:r>
          </w:p>
        </w:tc>
        <w:tc>
          <w:tcPr>
            <w:tcW w:w="5250" w:type="dxa"/>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1.《中华人民共和国农村土地承包法》（2018年12月29日修正）</w:t>
            </w:r>
          </w:p>
          <w:p>
            <w:pPr>
              <w:keepNext w:val="0"/>
              <w:keepLines w:val="0"/>
              <w:widowControl/>
              <w:suppressLineNumbers w:val="0"/>
              <w:jc w:val="both"/>
              <w:textAlignment w:val="center"/>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2.《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keepNext w:val="0"/>
              <w:keepLines w:val="0"/>
              <w:widowControl/>
              <w:suppressLineNumbers w:val="0"/>
              <w:jc w:val="both"/>
              <w:textAlignment w:val="center"/>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3.《行政许可法》第四十四条“行政机关作出准予行政许可的决定，应当自作出决定之日起十日内向申请人颁发、送达行政许可证件，或者加贴标签、加盖检验、检测、检疫印章。”</w:t>
            </w:r>
          </w:p>
          <w:p>
            <w:pPr>
              <w:keepNext w:val="0"/>
              <w:keepLines w:val="0"/>
              <w:widowControl/>
              <w:suppressLineNumbers w:val="0"/>
              <w:jc w:val="both"/>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5"/>
                <w:szCs w:val="15"/>
                <w:lang w:val="en-US" w:eastAsia="zh-CN" w:bidi="ar-SA"/>
              </w:rPr>
              <w:t>4.《行政许可法》第四十条“行政机关作出的准予行政许可决定，应当予以公开，公众有权查阅。”</w:t>
            </w:r>
          </w:p>
        </w:tc>
        <w:tc>
          <w:tcPr>
            <w:tcW w:w="4862" w:type="dxa"/>
            <w:noWrap w:val="0"/>
            <w:vAlign w:val="center"/>
          </w:tcPr>
          <w:p>
            <w:pPr>
              <w:keepNext w:val="0"/>
              <w:keepLines w:val="0"/>
              <w:widowControl/>
              <w:suppressLineNumbers w:val="0"/>
              <w:jc w:val="both"/>
              <w:textAlignment w:val="center"/>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p>
          <w:p>
            <w:pPr>
              <w:keepNext w:val="0"/>
              <w:keepLines w:val="0"/>
              <w:widowControl/>
              <w:suppressLineNumbers w:val="0"/>
              <w:jc w:val="both"/>
              <w:textAlignment w:val="center"/>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keepNext w:val="0"/>
              <w:keepLines w:val="0"/>
              <w:widowControl/>
              <w:suppressLineNumbers w:val="0"/>
              <w:jc w:val="both"/>
              <w:textAlignment w:val="center"/>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3.《中华人民共和国农村土地承包法》国家机关及其工作人员有利用职权干涉农村土地承包经营，变更、解除承包经营合同，干涉承包经营当事人依法享有的生产经营自主权，强迫、阻碍承包经营当事人进行土地承包经营权互换、转让或者土地经营权流转等侵害土地承包经营权、土地经营权的行为，给承包经营当事人造成损失的，应当承担损害赔偿等责任；情节严重的，由上级机关或者所在单位给予直接责任人员处分；构成犯罪的，依法追究刑事责任。</w:t>
            </w:r>
          </w:p>
          <w:p>
            <w:pPr>
              <w:keepNext w:val="0"/>
              <w:keepLines w:val="0"/>
              <w:widowControl/>
              <w:suppressLineNumbers w:val="0"/>
              <w:jc w:val="both"/>
              <w:textAlignment w:val="center"/>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4.《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keepNext w:val="0"/>
              <w:keepLines w:val="0"/>
              <w:widowControl/>
              <w:suppressLineNumbers w:val="0"/>
              <w:jc w:val="both"/>
              <w:textAlignment w:val="center"/>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kern w:val="2"/>
                <w:sz w:val="15"/>
                <w:szCs w:val="15"/>
                <w:lang w:val="en-US" w:eastAsia="zh-CN" w:bidi="ar-SA"/>
              </w:rPr>
              <w:t>5.河北省相关法律法规规章等。</w:t>
            </w:r>
          </w:p>
          <w:p>
            <w:pPr>
              <w:keepNext w:val="0"/>
              <w:keepLines w:val="0"/>
              <w:widowControl/>
              <w:suppressLineNumbers w:val="0"/>
              <w:jc w:val="both"/>
              <w:textAlignment w:val="center"/>
              <w:rPr>
                <w:rFonts w:hint="eastAsia" w:asciiTheme="minorEastAsia" w:hAnsiTheme="minorEastAsia" w:eastAsiaTheme="minorEastAsia" w:cstheme="minorEastAsia"/>
                <w:kern w:val="2"/>
                <w:sz w:val="18"/>
                <w:szCs w:val="18"/>
                <w:vertAlign w:val="baseline"/>
                <w:lang w:val="en-US" w:eastAsia="zh-CN" w:bidi="ar-SA"/>
              </w:rPr>
            </w:pPr>
            <w:r>
              <w:rPr>
                <w:rFonts w:hint="eastAsia" w:asciiTheme="minorEastAsia" w:hAnsiTheme="minorEastAsia" w:eastAsiaTheme="minorEastAsia" w:cstheme="minorEastAsia"/>
                <w:kern w:val="2"/>
                <w:sz w:val="15"/>
                <w:szCs w:val="15"/>
                <w:lang w:val="en-US" w:eastAsia="zh-CN" w:bidi="ar-SA"/>
              </w:rPr>
              <w:t>6.《行政许可法》第七十三条“行政机关工作人员办理行政许可、实施监督检查，索取或者收受他人财物或者谋取其他利益，构成犯罪的，依法追究刑事责任；尚不构成犯罪的，依法给予行政处分。”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r>
              <w:rPr>
                <w:rFonts w:hint="eastAsia" w:asciiTheme="minorEastAsia" w:hAnsiTheme="minorEastAsia" w:eastAsiaTheme="minorEastAsia" w:cstheme="minorEastAsia"/>
                <w:sz w:val="15"/>
                <w:szCs w:val="15"/>
                <w:vertAlign w:val="baseline"/>
                <w:lang w:val="en-US"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对农民集体所有的土地由本集体经济组织以外的单位或者个人承包经营批准</w:t>
            </w:r>
          </w:p>
        </w:tc>
        <w:tc>
          <w:tcPr>
            <w:tcW w:w="5250" w:type="dxa"/>
            <w:noWrap w:val="0"/>
            <w:vAlign w:val="top"/>
          </w:tcPr>
          <w:p>
            <w:pPr>
              <w:keepNext w:val="0"/>
              <w:keepLines w:val="0"/>
              <w:widowControl/>
              <w:numPr>
                <w:ilvl w:val="0"/>
                <w:numId w:val="1"/>
              </w:numPr>
              <w:suppressLineNumbers w:val="0"/>
              <w:jc w:val="left"/>
              <w:textAlignment w:val="top"/>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                          2.第十九条 土地承包应当遵循以下原则：</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(一)按照规定统一组织承包时，本集体经济组织成员依法平等地行使承包土地的权利，也可以自愿放弃承包土地的权利;</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(二)民主协商，公平合理;</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 xml:space="preserve">(三)承包方案应当按照本法第十三条的规定，依法经本集体经济组织成员的村民会议三分之二以上成员或者三分之二以上村民代表的同意;             </w:t>
            </w:r>
          </w:p>
          <w:p>
            <w:pPr>
              <w:keepNext w:val="0"/>
              <w:keepLines w:val="0"/>
              <w:widowControl/>
              <w:numPr>
                <w:ilvl w:val="0"/>
                <w:numId w:val="0"/>
              </w:numPr>
              <w:suppressLineNumbers w:val="0"/>
              <w:ind w:left="0" w:leftChars="0" w:firstLine="0" w:firstLineChars="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5"/>
                <w:szCs w:val="15"/>
                <w:u w:val="none"/>
                <w:lang w:val="en-US" w:eastAsia="zh-CN" w:bidi="ar"/>
              </w:rPr>
              <w:t>3.《中华人民共和国农村土地承包法》第二十条土地承包应当按照以下程序进行：</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(一)本集体经济组织成员的村民会议选举产生承包工作小组;</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(二)承包工作小组依照法律、法规的规定拟订并公布承包方案;</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(三)依法召开本集体经济组织成员的村民会议，讨论通过承包方案;</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(四)公开组织实施承包方案;</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(五)签订承包合同。                                                                                                                    4-1.《行政许可法》第四十四条“行政机关作出准予行政许可的决定，应当自作出决定之日起十日内向申请人颁发、送达行政许可证件，或者加贴标签、加盖检验、检测、检疫印章。”</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 xml:space="preserve">4-2.《行政许可法》第四十条“行政机关作出的准予行政许可决定，应当予以公开，公众有权查阅。”                                             </w:t>
            </w:r>
          </w:p>
        </w:tc>
        <w:tc>
          <w:tcPr>
            <w:tcW w:w="4862" w:type="dxa"/>
            <w:noWrap w:val="0"/>
            <w:vAlign w:val="top"/>
          </w:tcPr>
          <w:p>
            <w:pPr>
              <w:keepNext w:val="0"/>
              <w:keepLines w:val="0"/>
              <w:widowControl/>
              <w:suppressLineNumbers w:val="0"/>
              <w:jc w:val="left"/>
              <w:textAlignment w:val="top"/>
              <w:rPr>
                <w:rFonts w:hint="eastAsia" w:asciiTheme="minorEastAsia" w:hAnsiTheme="minorEastAsia" w:eastAsiaTheme="minorEastAsia" w:cstheme="minorEastAsia"/>
                <w:i w:val="0"/>
                <w:color w:val="000000"/>
                <w:kern w:val="0"/>
                <w:sz w:val="15"/>
                <w:szCs w:val="15"/>
                <w:u w:val="none"/>
                <w:lang w:val="en-US" w:eastAsia="zh-CN" w:bidi="ar"/>
              </w:rPr>
            </w:pPr>
            <w:r>
              <w:rPr>
                <w:rFonts w:hint="eastAsia" w:asciiTheme="minorEastAsia" w:hAnsiTheme="minorEastAsia" w:eastAsiaTheme="minorEastAsia" w:cstheme="minorEastAsia"/>
                <w:i w:val="0"/>
                <w:color w:val="000000"/>
                <w:kern w:val="0"/>
                <w:sz w:val="15"/>
                <w:szCs w:val="15"/>
                <w:u w:val="none"/>
                <w:lang w:val="en-US" w:eastAsia="zh-CN" w:bidi="ar"/>
              </w:rPr>
              <w:t xml:space="preserve">1.《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六）依法应当举行听证而不举行听证的。” </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 xml:space="preserve">2.《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                         </w:t>
            </w:r>
          </w:p>
          <w:p>
            <w:pPr>
              <w:keepNext w:val="0"/>
              <w:keepLines w:val="0"/>
              <w:widowControl/>
              <w:suppressLineNumbers w:val="0"/>
              <w:jc w:val="left"/>
              <w:textAlignment w:val="top"/>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color w:val="000000"/>
                <w:kern w:val="0"/>
                <w:sz w:val="15"/>
                <w:szCs w:val="15"/>
                <w:u w:val="none"/>
                <w:lang w:val="en-US" w:eastAsia="zh-CN" w:bidi="ar"/>
              </w:rPr>
              <w:t>3.同2。                                                                                                                                4.《行政许可法》第七十七条“行政机关不依法履行监督职责或者监督不力，造成严重后果的，由其上级行政机关或者监察机关责令改正，对直接负责的主管人员和其他直接责任人员依法给予行政处分；构成犯罪的，依法追究刑事责任。”</w:t>
            </w:r>
            <w:r>
              <w:rPr>
                <w:rFonts w:hint="eastAsia" w:asciiTheme="minorEastAsia" w:hAnsiTheme="minorEastAsia" w:eastAsiaTheme="minorEastAsia" w:cstheme="minorEastAsia"/>
                <w:i w:val="0"/>
                <w:color w:val="000000"/>
                <w:kern w:val="0"/>
                <w:sz w:val="15"/>
                <w:szCs w:val="15"/>
                <w:u w:val="none"/>
                <w:lang w:val="en-US" w:eastAsia="zh-CN" w:bidi="ar"/>
              </w:rPr>
              <w:br w:type="textWrapping"/>
            </w:r>
            <w:r>
              <w:rPr>
                <w:rFonts w:hint="eastAsia" w:asciiTheme="minorEastAsia" w:hAnsiTheme="minorEastAsia" w:eastAsiaTheme="minorEastAsia" w:cstheme="minorEastAsia"/>
                <w:i w:val="0"/>
                <w:color w:val="000000"/>
                <w:kern w:val="0"/>
                <w:sz w:val="15"/>
                <w:szCs w:val="15"/>
                <w:u w:val="none"/>
                <w:lang w:val="en-US" w:eastAsia="zh-CN" w:bidi="ar"/>
              </w:rPr>
              <w:t>5.河北省相关法律法规规章等。                                                                                                           6.同1。                                                                                                                                   7.《中华人民共和国农村土地承包法》第五十六条 任何组织和个人侵害土地承包经营权、土地经营权的，应当承担民事责任。                                                                  8.《行政许可法》第七十三条“行政机关工作人员办理行政许可、实施监督检查，索取或者收受他人财物或者谋取其他利益，构成犯罪的，依法追究刑事责任；尚不构成犯罪的，依法给予行政处分。”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8"/>
                <w:szCs w:val="18"/>
                <w:vertAlign w:val="baseline"/>
                <w:lang w:val="en-US" w:eastAsia="zh-CN"/>
              </w:rPr>
              <w:t>独生子女父母光荣证补办</w:t>
            </w:r>
          </w:p>
        </w:tc>
        <w:tc>
          <w:tcPr>
            <w:tcW w:w="5250" w:type="dxa"/>
            <w:noWrap w:val="0"/>
            <w:vAlign w:val="center"/>
          </w:tcPr>
          <w:p>
            <w:pPr>
              <w:tabs>
                <w:tab w:val="left" w:pos="7937"/>
              </w:tabs>
              <w:spacing w:line="240" w:lineRule="exact"/>
              <w:jc w:val="lef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.《河北省卫生健康委办公室关于〈独生子女父母光荣证〉发放有关事项的通知》（冀卫办〔2019〕5号）</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2.同1。</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w:t>
            </w:r>
            <w:r>
              <w:rPr>
                <w:rFonts w:hint="eastAsia" w:asciiTheme="minorEastAsia" w:hAnsiTheme="minorEastAsia" w:eastAsiaTheme="minorEastAsia" w:cstheme="minorEastAsia"/>
                <w:sz w:val="15"/>
                <w:szCs w:val="15"/>
                <w:lang w:eastAsia="zh-CN"/>
              </w:rPr>
              <w:t>.</w:t>
            </w:r>
            <w:r>
              <w:rPr>
                <w:rFonts w:hint="eastAsia" w:asciiTheme="minorEastAsia" w:hAnsiTheme="minorEastAsia" w:eastAsiaTheme="minorEastAsia" w:cstheme="minorEastAsia"/>
                <w:sz w:val="15"/>
                <w:szCs w:val="15"/>
              </w:rPr>
              <w:t>《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4</w:t>
            </w:r>
            <w:r>
              <w:rPr>
                <w:rFonts w:hint="eastAsia" w:asciiTheme="minorEastAsia" w:hAnsiTheme="minorEastAsia" w:eastAsiaTheme="minorEastAsia" w:cstheme="minorEastAsia"/>
                <w:sz w:val="15"/>
                <w:szCs w:val="15"/>
              </w:rPr>
              <w:t>.《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8"/>
                <w:szCs w:val="18"/>
              </w:rPr>
              <w:t>农村危房改造申请</w:t>
            </w:r>
          </w:p>
        </w:tc>
        <w:tc>
          <w:tcPr>
            <w:tcW w:w="5250" w:type="dxa"/>
            <w:noWrap w:val="0"/>
            <w:vAlign w:val="top"/>
          </w:tcPr>
          <w:p>
            <w:pPr>
              <w:keepNext w:val="0"/>
              <w:keepLines w:val="0"/>
              <w:pageBreakBefore w:val="0"/>
              <w:numPr>
                <w:ilvl w:val="0"/>
                <w:numId w:val="2"/>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《社会救助暂行办法》（2019年3月2日修改）第三十八条、第四十条</w:t>
            </w: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2.《中央财政农村危房改造补助资金管理办法》（财社〔2016﹞216号）第八条</w:t>
            </w: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3.参照《行政许可法》第三十七条“行政机关对行政许可申请进行审查后，除当场作出行政许可决定的外，应当在法定期限内按照规定程序作出行政许可决定。”</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4.参照《行政许可法 》第六十一条“行政机关应当建立健全监督制度，通过核查反映被许可人从事行政许可事项活动情况的有关材料，履行监督责任。</w:t>
            </w:r>
          </w:p>
        </w:tc>
        <w:tc>
          <w:tcPr>
            <w:tcW w:w="486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right="0" w:right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第六十六条 违反本办法规定，有下列情形之一的，由上级行政机关或者监察机关责令改正;对直接负责的主管人员和其他直接责任人员依法给予处分: </w:t>
            </w:r>
          </w:p>
          <w:p>
            <w:pPr>
              <w:keepNext w:val="0"/>
              <w:keepLines w:val="0"/>
              <w:pageBreakBefore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对符合申请条件的救助申请不予受理的;  </w:t>
            </w:r>
          </w:p>
          <w:p>
            <w:pPr>
              <w:keepNext w:val="0"/>
              <w:keepLines w:val="0"/>
              <w:pageBreakBefore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对符合救助条件的救助申请不予批准的; </w:t>
            </w:r>
          </w:p>
          <w:p>
            <w:pPr>
              <w:keepNext w:val="0"/>
              <w:keepLines w:val="0"/>
              <w:pageBreakBefore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对不符合救助条件的救助申请予以批准的;</w:t>
            </w:r>
          </w:p>
          <w:p>
            <w:pPr>
              <w:keepNext w:val="0"/>
              <w:keepLines w:val="0"/>
              <w:pageBreakBefore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泄露在工作中知悉的公民个人信息，造成后果的;</w:t>
            </w:r>
          </w:p>
          <w:p>
            <w:pPr>
              <w:keepNext w:val="0"/>
              <w:keepLines w:val="0"/>
              <w:pageBreakBefore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丢失、篡改接受社会救助款物、服务记录等数据的; </w:t>
            </w:r>
          </w:p>
          <w:p>
            <w:pPr>
              <w:keepNext w:val="0"/>
              <w:keepLines w:val="0"/>
              <w:pageBreakBefore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不按照规定发放社会救助资金、物资或者提供相关服务的; </w:t>
            </w:r>
          </w:p>
          <w:p>
            <w:pPr>
              <w:keepNext w:val="0"/>
              <w:keepLines w:val="0"/>
              <w:pageBreakBefore w:val="0"/>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lang w:val="en-US" w:eastAsia="zh-CN"/>
              </w:rPr>
              <w:t>在履行社会救助职责过程中有其他滥用职权、玩忽职守、徇私舞弊行为的。</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8"/>
                <w:szCs w:val="18"/>
              </w:rPr>
              <w:t>两证整合个体工商户登记信息确认</w:t>
            </w:r>
          </w:p>
        </w:tc>
        <w:tc>
          <w:tcPr>
            <w:tcW w:w="5250" w:type="dxa"/>
            <w:noWrap w:val="0"/>
            <w:vAlign w:val="center"/>
          </w:tcPr>
          <w:p>
            <w:pPr>
              <w:tabs>
                <w:tab w:val="left" w:pos="7937"/>
              </w:tabs>
              <w:spacing w:line="24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1、《税务登记管理办法》（2019年7月24日修正）：第二条 企业，企业在外地设立的分支机构和从事生产、经营的场所，个体工商户和从事生产、经营的事业单位，均应当按照《税收征管法》及《实施细则》和本办法的规定办理税务登记。</w:t>
            </w:r>
          </w:p>
          <w:p>
            <w:pPr>
              <w:tabs>
                <w:tab w:val="left" w:pos="7937"/>
              </w:tabs>
              <w:spacing w:line="24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前款规定以外的纳税人，除国家机关、个人和无固定生产、经营场所的流动性农村小商贩外，也应当按照《税收征管法》及《实施细则》和本办法的规定办理税务登记。</w:t>
            </w:r>
          </w:p>
          <w:p>
            <w:pPr>
              <w:tabs>
                <w:tab w:val="left" w:pos="7937"/>
              </w:tabs>
              <w:spacing w:line="24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根据税收法律、行政法规的规定负有扣缴税款义务的扣缴义务人(国家机关除外)，应当按照《税收征管法》及《实施细则》和本办法的规定办理扣缴税款登记。</w:t>
            </w:r>
          </w:p>
          <w:p>
            <w:pPr>
              <w:tabs>
                <w:tab w:val="left" w:pos="7937"/>
              </w:tabs>
              <w:spacing w:line="24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第三条 县以上(含本级，下同)国家税务局(分局)、地方税务局(分局)是税务登记的主管税务机关，负责税务登记的设立登记、变更登记、注销登记和税务登记证验证、换证以及非正常户处理、报验登记等有关事项。</w:t>
            </w:r>
          </w:p>
          <w:p>
            <w:pPr>
              <w:tabs>
                <w:tab w:val="left" w:pos="7937"/>
              </w:tabs>
              <w:spacing w:line="24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2、参照《国家税务总局关于进一步推进“多证合一”工商共享信息运用工作通知》（税总函〔2017〕402号）相关规定。</w:t>
            </w:r>
          </w:p>
        </w:tc>
        <w:tc>
          <w:tcPr>
            <w:tcW w:w="4862" w:type="dxa"/>
            <w:noWrap w:val="0"/>
            <w:vAlign w:val="center"/>
          </w:tcPr>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1.《中国共产党纪律处分条例》第一百二十九条“国家行政机关或者法律、法规授权的部门、单位工作人员，在履行经济调节、市场监管、社会管理和公共服务职责中失职、渎职，情节较轻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2.同1。</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3-1.《中国共产党纪律处分条例》第一百二十七条“党和国家工作人员或者其他从事公务的人员，在工作中不履行或者不正确履行职责，给党、国家和人民利益以及公共财产造成较大损失的，给予警告或者严重警告处分；造成重大损失的，给予撤销党内职务、留党察看或者开除党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前款所列人员，在工作中滥用职权或者玩忽职守，给党、国家和人民利益以及公共财产造成较大损失的，给予严重警告处分；造成重大损失的，给予撤销党内职务、留党察看或者开除党籍处分。在工作中徇私舞弊的，从重或者加重处分。本条例另有规定的，依照规定。”</w:t>
            </w:r>
          </w:p>
          <w:p>
            <w:pPr>
              <w:tabs>
                <w:tab w:val="left" w:pos="7937"/>
              </w:tabs>
              <w:spacing w:line="260" w:lineRule="exact"/>
              <w:rPr>
                <w:rFonts w:hint="eastAsia" w:asciiTheme="minorEastAsia" w:hAnsiTheme="minorEastAsia" w:eastAsiaTheme="minorEastAsia" w:cstheme="minorEastAsia"/>
                <w:sz w:val="15"/>
                <w:szCs w:val="15"/>
              </w:rPr>
            </w:pPr>
            <w:r>
              <w:rPr>
                <w:rFonts w:hint="eastAsia" w:asciiTheme="minorEastAsia" w:hAnsiTheme="minorEastAsia" w:eastAsiaTheme="minorEastAsia" w:cstheme="minorEastAsia"/>
                <w:sz w:val="15"/>
                <w:szCs w:val="15"/>
              </w:rPr>
              <w:t>4.《中国共产党纪律处分条例》第八十五条“党和国家工作人员或者其他从事公务的人员，利用职务上的便利，索取他人财物，或者非法收受他人财物为他人谋取利益，情节较轻的，给予警告或者严重警告处分；情节较重的，给予撤销党内职务或者留党察看处分；情节严重的，给予开除党籍处分。前款所列人员利用职务上的便利，变相非法收受他人财物为他人谋取利益，情节较重的，给予警告或者严重警告处分；情节严重的，给予撤销党内职务、留党察看或者开除党籍处分。因受贿给国家、集体和人民利益造成重大损失的，从重或者加重处分，直至开除党籍。 因索取财物未遂而刁难报复对方，给对方造成损失的，给予警告或者严重警告处分；情节较重的，给予撤销党内职务或者留党察看处分；情节严重的，给予开除党籍处分。”</w:t>
            </w:r>
          </w:p>
          <w:p>
            <w:pPr>
              <w:tabs>
                <w:tab w:val="left" w:pos="7937"/>
              </w:tabs>
              <w:spacing w:line="26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5"/>
                <w:szCs w:val="15"/>
              </w:rPr>
              <w:t>5、《税务登记管理办法》（2019年7月24日修正）第四十七条 税务人员徇私舞弊或者玩忽职守，违反本办法规定为纳税人办理税务登记相关手续，或者滥用职权，故意刁难纳税人、扣缴义务人的，调离工作岗位，并依法给予行政处分。</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0" w:type="dxa"/>
            <w:noWrap w:val="0"/>
            <w:vAlign w:val="center"/>
          </w:tcPr>
          <w:p>
            <w:pPr>
              <w:widowControl/>
              <w:spacing w:line="240" w:lineRule="exact"/>
              <w:jc w:val="center"/>
              <w:rPr>
                <w:rFonts w:hint="eastAsia" w:asciiTheme="minorEastAsia" w:hAnsiTheme="minorEastAsia" w:eastAsiaTheme="minorEastAsia" w:cstheme="minorEastAsia"/>
                <w:sz w:val="15"/>
                <w:szCs w:val="15"/>
                <w:lang w:val="en-US" w:eastAsia="zh-CN"/>
              </w:rPr>
            </w:pPr>
          </w:p>
        </w:tc>
        <w:tc>
          <w:tcPr>
            <w:tcW w:w="1475" w:type="dxa"/>
            <w:noWrap w:val="0"/>
            <w:vAlign w:val="center"/>
          </w:tcPr>
          <w:p>
            <w:pPr>
              <w:tabs>
                <w:tab w:val="left" w:pos="7937"/>
              </w:tabs>
              <w:spacing w:line="260" w:lineRule="exact"/>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8"/>
                <w:szCs w:val="18"/>
              </w:rPr>
              <w:t>公共租赁住房保障申请</w:t>
            </w:r>
          </w:p>
        </w:tc>
        <w:tc>
          <w:tcPr>
            <w:tcW w:w="5250" w:type="dxa"/>
            <w:noWrap w:val="0"/>
            <w:vAlign w:val="top"/>
          </w:tcPr>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5"/>
                <w:szCs w:val="15"/>
                <w:lang w:val="en-US" w:eastAsia="zh-CN"/>
              </w:rPr>
            </w:pP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5"/>
                <w:szCs w:val="15"/>
                <w:lang w:val="en-US" w:eastAsia="zh-CN"/>
              </w:rPr>
            </w:pP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5"/>
                <w:szCs w:val="15"/>
                <w:lang w:val="en-US" w:eastAsia="zh-CN"/>
              </w:rPr>
            </w:pP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5"/>
                <w:szCs w:val="15"/>
                <w:lang w:val="en-US" w:eastAsia="zh-CN"/>
              </w:rPr>
            </w:pP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1.《社会救助暂行办法》（2019年3月2日修改）第三十八条</w:t>
            </w: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2.《河北省公共租赁住房管理办法》（冀政〔2011﹞68号）第二十八条</w:t>
            </w:r>
          </w:p>
          <w:p>
            <w:pPr>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3.参照《行政许可法》第三十七条“行政机关对行政许可申请进行审查后，除当场作出行政许可决定的外，应当在法定期限内按照规定程序作出行政许可决定。”</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360" w:lineRule="auto"/>
              <w:ind w:right="0" w:rightChars="0"/>
              <w:jc w:val="left"/>
              <w:textAlignment w:val="auto"/>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sz w:val="15"/>
                <w:szCs w:val="15"/>
                <w:lang w:val="en-US" w:eastAsia="zh-CN"/>
              </w:rPr>
              <w:t>4.参照《行政许可法 》第六十一条“行政机关应当建立健全监督制度，通过核查反映被许可人从事行政许可事项活动情况的有关材料，履行监督责任。</w:t>
            </w:r>
          </w:p>
        </w:tc>
        <w:tc>
          <w:tcPr>
            <w:tcW w:w="4862" w:type="dxa"/>
            <w:noWrap w:val="0"/>
            <w:vAlign w:val="center"/>
          </w:tcPr>
          <w:p>
            <w:pPr>
              <w:keepNext w:val="0"/>
              <w:keepLines w:val="0"/>
              <w:pageBreakBefore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right="0" w:right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第六十六条 违反本办法规定，有下列情形之一的，由上级行政机关或者监察机关责令改正;对直接负责的主管人员和其他直接责任人员依法给予处分: </w:t>
            </w:r>
          </w:p>
          <w:p>
            <w:pPr>
              <w:keepNext w:val="0"/>
              <w:keepLines w:val="0"/>
              <w:pageBreakBefore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对符合申请条件的救助申请不予受理的;  </w:t>
            </w:r>
          </w:p>
          <w:p>
            <w:pPr>
              <w:keepNext w:val="0"/>
              <w:keepLines w:val="0"/>
              <w:pageBreakBefore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对符合救助条件的救助申请不予批准的; </w:t>
            </w:r>
          </w:p>
          <w:p>
            <w:pPr>
              <w:keepNext w:val="0"/>
              <w:keepLines w:val="0"/>
              <w:pageBreakBefore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对不符合救助条件的救助申请予以批准的;</w:t>
            </w:r>
          </w:p>
          <w:p>
            <w:pPr>
              <w:keepNext w:val="0"/>
              <w:keepLines w:val="0"/>
              <w:pageBreakBefore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泄露在工作中知悉的公民个人信息，造成后果的;</w:t>
            </w:r>
          </w:p>
          <w:p>
            <w:pPr>
              <w:keepNext w:val="0"/>
              <w:keepLines w:val="0"/>
              <w:pageBreakBefore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丢失、篡改接受社会救助款物、服务记录等数据的; </w:t>
            </w:r>
          </w:p>
          <w:p>
            <w:pPr>
              <w:keepNext w:val="0"/>
              <w:keepLines w:val="0"/>
              <w:pageBreakBefore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sz w:val="15"/>
                <w:szCs w:val="15"/>
                <w:lang w:val="en-US" w:eastAsia="zh-CN"/>
              </w:rPr>
            </w:pPr>
            <w:r>
              <w:rPr>
                <w:rFonts w:hint="eastAsia" w:asciiTheme="minorEastAsia" w:hAnsiTheme="minorEastAsia" w:eastAsiaTheme="minorEastAsia" w:cstheme="minorEastAsia"/>
                <w:sz w:val="15"/>
                <w:szCs w:val="15"/>
                <w:lang w:val="en-US" w:eastAsia="zh-CN"/>
              </w:rPr>
              <w:t xml:space="preserve">不按照规定发放社会救助资金、物资或者提供相关服务的; </w:t>
            </w:r>
          </w:p>
          <w:p>
            <w:pPr>
              <w:keepNext w:val="0"/>
              <w:keepLines w:val="0"/>
              <w:pageBreakBefore w:val="0"/>
              <w:numPr>
                <w:ilvl w:val="0"/>
                <w:numId w:val="4"/>
              </w:numPr>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ind w:left="0" w:leftChars="0" w:right="0" w:rightChars="0" w:firstLine="420" w:firstLineChars="0"/>
              <w:jc w:val="left"/>
              <w:textAlignment w:val="auto"/>
              <w:rPr>
                <w:rFonts w:hint="eastAsia" w:asciiTheme="minorEastAsia" w:hAnsiTheme="minorEastAsia" w:eastAsiaTheme="minorEastAsia" w:cstheme="minorEastAsia"/>
                <w:kern w:val="2"/>
                <w:sz w:val="15"/>
                <w:szCs w:val="15"/>
                <w:lang w:val="en-US" w:eastAsia="zh-CN" w:bidi="ar-SA"/>
              </w:rPr>
            </w:pPr>
            <w:r>
              <w:rPr>
                <w:rFonts w:hint="eastAsia" w:asciiTheme="minorEastAsia" w:hAnsiTheme="minorEastAsia" w:eastAsiaTheme="minorEastAsia" w:cstheme="minorEastAsia"/>
                <w:sz w:val="15"/>
                <w:szCs w:val="15"/>
                <w:lang w:val="en-US" w:eastAsia="zh-CN"/>
              </w:rPr>
              <w:t>在履行社会救助职责过程中有其他滥用职权、玩忽职守、徇私舞弊行为的。</w:t>
            </w:r>
          </w:p>
        </w:tc>
        <w:tc>
          <w:tcPr>
            <w:tcW w:w="1450" w:type="dxa"/>
            <w:noWrap w:val="0"/>
            <w:vAlign w:val="center"/>
          </w:tcPr>
          <w:p>
            <w:pPr>
              <w:spacing w:line="600" w:lineRule="exact"/>
              <w:jc w:val="center"/>
              <w:rPr>
                <w:rFonts w:hint="eastAsia" w:asciiTheme="minorEastAsia" w:hAnsiTheme="minorEastAsia" w:eastAsiaTheme="minorEastAsia" w:cstheme="minorEastAsia"/>
                <w:sz w:val="15"/>
                <w:szCs w:val="15"/>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D9085"/>
    <w:multiLevelType w:val="singleLevel"/>
    <w:tmpl w:val="B31D9085"/>
    <w:lvl w:ilvl="0" w:tentative="0">
      <w:start w:val="1"/>
      <w:numFmt w:val="decimal"/>
      <w:lvlText w:val="%1."/>
      <w:lvlJc w:val="left"/>
      <w:pPr>
        <w:tabs>
          <w:tab w:val="left" w:pos="312"/>
        </w:tabs>
      </w:pPr>
    </w:lvl>
  </w:abstractNum>
  <w:abstractNum w:abstractNumId="1">
    <w:nsid w:val="D141D3ED"/>
    <w:multiLevelType w:val="singleLevel"/>
    <w:tmpl w:val="D141D3ED"/>
    <w:lvl w:ilvl="0" w:tentative="0">
      <w:start w:val="1"/>
      <w:numFmt w:val="chineseCounting"/>
      <w:suff w:val="nothing"/>
      <w:lvlText w:val="（%1）"/>
      <w:lvlJc w:val="left"/>
      <w:pPr>
        <w:ind w:left="0" w:firstLine="420"/>
      </w:pPr>
      <w:rPr>
        <w:rFonts w:hint="eastAsia"/>
      </w:rPr>
    </w:lvl>
  </w:abstractNum>
  <w:abstractNum w:abstractNumId="2">
    <w:nsid w:val="FD1C2686"/>
    <w:multiLevelType w:val="singleLevel"/>
    <w:tmpl w:val="FD1C2686"/>
    <w:lvl w:ilvl="0" w:tentative="0">
      <w:start w:val="1"/>
      <w:numFmt w:val="chineseCounting"/>
      <w:suff w:val="nothing"/>
      <w:lvlText w:val="（%1）"/>
      <w:lvlJc w:val="left"/>
      <w:pPr>
        <w:ind w:left="0" w:firstLine="420"/>
      </w:pPr>
      <w:rPr>
        <w:rFonts w:hint="eastAsia"/>
      </w:rPr>
    </w:lvl>
  </w:abstractNum>
  <w:abstractNum w:abstractNumId="3">
    <w:nsid w:val="7DD65249"/>
    <w:multiLevelType w:val="singleLevel"/>
    <w:tmpl w:val="7DD65249"/>
    <w:lvl w:ilvl="0" w:tentative="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9052D"/>
    <w:rsid w:val="0C8876D2"/>
    <w:rsid w:val="18E9052D"/>
    <w:rsid w:val="28E74732"/>
    <w:rsid w:val="6ABB42E7"/>
    <w:rsid w:val="7E55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2024-06-19T03:03:00Z</dcterms:created>
  <dc:creator>YANG=</dc:creator>
  <cp:lastModifiedBy>YANG=</cp:lastModifiedBy>
  <dcterms:modified xsi:type="dcterms:W3CDTF">2024-06-19T08:17:19Z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