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责任事项和追责情形依据分表</w:t>
      </w:r>
    </w:p>
    <w:p>
      <w:pPr>
        <w:spacing w:line="600" w:lineRule="exact"/>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w:t>
      </w:r>
      <w:r>
        <w:rPr>
          <w:rFonts w:hint="eastAsia" w:asciiTheme="minorEastAsia" w:hAnsiTheme="minorEastAsia" w:eastAsiaTheme="minorEastAsia" w:cstheme="minorEastAsia"/>
          <w:sz w:val="44"/>
          <w:szCs w:val="44"/>
        </w:rPr>
        <w:t>行政备案</w:t>
      </w:r>
      <w:r>
        <w:rPr>
          <w:rFonts w:hint="eastAsia" w:asciiTheme="majorEastAsia" w:hAnsiTheme="majorEastAsia" w:eastAsiaTheme="majorEastAsia" w:cstheme="majorEastAsia"/>
          <w:b/>
          <w:bCs/>
          <w:sz w:val="44"/>
          <w:szCs w:val="44"/>
        </w:rPr>
        <w:t>）</w:t>
      </w:r>
    </w:p>
    <w:p>
      <w:pPr>
        <w:spacing w:line="6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单位：</w:t>
      </w:r>
      <w:bookmarkStart w:id="0" w:name="_GoBack"/>
      <w:bookmarkEnd w:id="0"/>
      <w:r>
        <w:rPr>
          <w:rFonts w:hint="eastAsia" w:asciiTheme="minorEastAsia" w:hAnsiTheme="minorEastAsia" w:eastAsiaTheme="minorEastAsia" w:cstheme="minorEastAsia"/>
          <w:sz w:val="24"/>
          <w:szCs w:val="24"/>
          <w:lang w:eastAsia="zh-CN"/>
        </w:rPr>
        <w:t>兴隆宫镇人民政府</w:t>
      </w:r>
      <w:r>
        <w:rPr>
          <w:rFonts w:hint="eastAsia" w:asciiTheme="minorEastAsia" w:hAnsiTheme="minorEastAsia" w:eastAsiaTheme="minorEastAsia" w:cstheme="minorEastAsia"/>
          <w:sz w:val="24"/>
          <w:szCs w:val="24"/>
        </w:rPr>
        <w:t>（公章）</w:t>
      </w:r>
    </w:p>
    <w:tbl>
      <w:tblPr>
        <w:tblStyle w:val="4"/>
        <w:tblpPr w:leftFromText="180" w:rightFromText="180" w:vertAnchor="text" w:tblpXSpec="center" w:tblpY="1"/>
        <w:tblOverlap w:val="never"/>
        <w:tblW w:w="138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475"/>
        <w:gridCol w:w="5250"/>
        <w:gridCol w:w="4862"/>
        <w:gridCol w:w="1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90"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序号</w:t>
            </w:r>
          </w:p>
        </w:tc>
        <w:tc>
          <w:tcPr>
            <w:tcW w:w="1475"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权力事项</w:t>
            </w:r>
          </w:p>
        </w:tc>
        <w:tc>
          <w:tcPr>
            <w:tcW w:w="5250"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责任事项依据</w:t>
            </w:r>
          </w:p>
        </w:tc>
        <w:tc>
          <w:tcPr>
            <w:tcW w:w="4862"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追责情形依据</w:t>
            </w:r>
          </w:p>
        </w:tc>
        <w:tc>
          <w:tcPr>
            <w:tcW w:w="1450"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0" w:type="dxa"/>
            <w:vAlign w:val="center"/>
          </w:tcPr>
          <w:p>
            <w:pPr>
              <w:widowControl/>
              <w:spacing w:line="24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w:t>
            </w:r>
          </w:p>
        </w:tc>
        <w:tc>
          <w:tcPr>
            <w:tcW w:w="1475" w:type="dxa"/>
            <w:vAlign w:val="center"/>
          </w:tcPr>
          <w:p>
            <w:pPr>
              <w:widowControl/>
              <w:tabs>
                <w:tab w:val="left" w:pos="7937"/>
              </w:tabs>
              <w:spacing w:line="2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8"/>
                <w:szCs w:val="18"/>
              </w:rPr>
              <w:t>业主委员会备案</w:t>
            </w:r>
          </w:p>
        </w:tc>
        <w:tc>
          <w:tcPr>
            <w:tcW w:w="5250" w:type="dxa"/>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heme="minorEastAsia" w:hAnsiTheme="minorEastAsia" w:eastAsiaTheme="minorEastAsia" w:cstheme="minorEastAsia"/>
                <w:sz w:val="15"/>
                <w:szCs w:val="15"/>
              </w:rPr>
            </w:pP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1.《物业管理条例》（2018年3月19日修订）第十六条</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2.参照《行政许可法》第三十七条“行政机关对行政许可申请进行审查后，除当场作出行政许可决定的外，应当在法定期限内按照规定程序作出行政许可决定。”</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5"/>
                <w:szCs w:val="15"/>
              </w:rPr>
              <w:t>3.参照《行政许可法 》第六十一条“行政机关应当建立健全监督制度，通过核查反映被许可人从事行政许可事项活动情况的有关材料，履行监督责任。</w:t>
            </w:r>
          </w:p>
        </w:tc>
        <w:tc>
          <w:tcPr>
            <w:tcW w:w="4862"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5"/>
                <w:szCs w:val="15"/>
              </w:rPr>
              <w:t>第六十六条 违反本条例的规定，国务院建设行政主管部门、县级以上地方人民政府房地产行政主管部门或者其他有关行政管理部门的工作人员利用职务上的便利，收受他人财物或者其他好处，不依法履行监督管理职责，或者发现违法行为不予查处，构成犯罪的，依法追究刑事责任;尚不构成犯罪的，依法给予行政处分。</w:t>
            </w:r>
          </w:p>
        </w:tc>
        <w:tc>
          <w:tcPr>
            <w:tcW w:w="1450" w:type="dxa"/>
            <w:vAlign w:val="center"/>
          </w:tcPr>
          <w:p>
            <w:pPr>
              <w:spacing w:line="6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8"/>
                <w:szCs w:val="18"/>
              </w:rPr>
              <w:t>行政备案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0" w:type="dxa"/>
            <w:vAlign w:val="center"/>
          </w:tcPr>
          <w:p>
            <w:pPr>
              <w:widowControl/>
              <w:spacing w:line="24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w:t>
            </w:r>
          </w:p>
        </w:tc>
        <w:tc>
          <w:tcPr>
            <w:tcW w:w="1475" w:type="dxa"/>
            <w:vAlign w:val="center"/>
          </w:tcPr>
          <w:p>
            <w:pPr>
              <w:widowControl/>
              <w:tabs>
                <w:tab w:val="left" w:pos="7937"/>
              </w:tabs>
              <w:spacing w:line="2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8"/>
                <w:szCs w:val="18"/>
              </w:rPr>
              <w:t>设施农业用地备案</w:t>
            </w:r>
          </w:p>
        </w:tc>
        <w:tc>
          <w:tcPr>
            <w:tcW w:w="5250" w:type="dxa"/>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 xml:space="preserve">1.《河北省自然资源厅河北省农业农村厅关于进一步改进和完善设施农业用地管理的实施意见》（冀自然资规〔2020﹞3号） </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2.参照《行政许可法》第三十七条“行政机关对行政许可申请进行审查后，除当场作出行政许可决定的外，应当在法定期限内按照规定程序作出行政许可决定。”</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5"/>
                <w:szCs w:val="15"/>
              </w:rPr>
              <w:t>3.参照《行政许可法 》第六十一条“行政机关应当建立健全监督制度，通过核查反映被许可人从事行政许可事项活动情况的有关材料，履行监督责任。</w:t>
            </w:r>
          </w:p>
        </w:tc>
        <w:tc>
          <w:tcPr>
            <w:tcW w:w="4862"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严肃查处设施农业用地违法违规行为。市县两级自然资源主管部门和农业农村主管部门对设施农业用地违法违规行为要做到早发现、早制止、早查处。对不按规定使用土地的，对擅自或变相将设施农业用地用于非农建设的，由自然资源主管部门依法依规严肃查处。对擅自扩大设施农业用地规模或通过分次申报用地变相扩大设施农业用地规模的，擅自改变农业生产设施类型用于其他经营的，由农业农村主管部门及时制止、责令限期纠正。省市两级自然资源主管部门和农业农村主管部门要通过各种技术手段进行设施农业用地监管，发现对设施农业用地违法违规行为有案不查、执法不严的，要坚决予以纠正，并依法依规追究有关人员的责任。</w:t>
            </w:r>
          </w:p>
        </w:tc>
        <w:tc>
          <w:tcPr>
            <w:tcW w:w="1450" w:type="dxa"/>
            <w:vAlign w:val="center"/>
          </w:tcPr>
          <w:p>
            <w:pPr>
              <w:spacing w:line="6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8"/>
                <w:szCs w:val="18"/>
              </w:rPr>
              <w:t>行政备案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0" w:type="dxa"/>
            <w:vAlign w:val="center"/>
          </w:tcPr>
          <w:p>
            <w:pPr>
              <w:widowControl/>
              <w:spacing w:line="24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w:t>
            </w:r>
          </w:p>
        </w:tc>
        <w:tc>
          <w:tcPr>
            <w:tcW w:w="1475" w:type="dxa"/>
            <w:vAlign w:val="center"/>
          </w:tcPr>
          <w:p>
            <w:pPr>
              <w:tabs>
                <w:tab w:val="left" w:pos="7937"/>
              </w:tabs>
              <w:spacing w:line="2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8"/>
                <w:szCs w:val="18"/>
              </w:rPr>
              <w:t>农村土地经营权流转合同备案</w:t>
            </w:r>
          </w:p>
        </w:tc>
        <w:tc>
          <w:tcPr>
            <w:tcW w:w="5250" w:type="dxa"/>
            <w:vAlign w:val="center"/>
          </w:tcPr>
          <w:p>
            <w:pPr>
              <w:tabs>
                <w:tab w:val="left" w:pos="7937"/>
              </w:tabs>
              <w:spacing w:line="26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5"/>
                <w:szCs w:val="15"/>
              </w:rPr>
              <w:t xml:space="preserve">《农村土地承包经营权流转管理办法》 第六章　附则 第三十四条　通过招标、拍卖和公开协商等方式承包荒山、荒沟、荒丘、荒滩等农村土地，经依法登记取得农村土地承包经营权证的，可以采取转让、出租、入股、抵押或者其他方式流转，其流转管理参照本办法执行。 </w:t>
            </w:r>
          </w:p>
        </w:tc>
        <w:tc>
          <w:tcPr>
            <w:tcW w:w="4862" w:type="dxa"/>
            <w:vAlign w:val="center"/>
          </w:tcPr>
          <w:p>
            <w:pPr>
              <w:tabs>
                <w:tab w:val="left" w:pos="7937"/>
              </w:tabs>
              <w:spacing w:line="26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因不履行或不正确履行行政职责，有下列情形的，行政机关及相关工作人员应承担相应责任：</w:t>
            </w:r>
          </w:p>
          <w:p>
            <w:pPr>
              <w:tabs>
                <w:tab w:val="left" w:pos="7937"/>
              </w:tabs>
              <w:spacing w:line="26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1、对符合受理条件的行政认定申请不予受理的；</w:t>
            </w:r>
          </w:p>
          <w:p>
            <w:pPr>
              <w:tabs>
                <w:tab w:val="left" w:pos="7937"/>
              </w:tabs>
              <w:spacing w:line="26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2、未严格按照相关政策、法律、法规履行审查义务，对应当予以认定的不予认定，或者对不应认定的予以认定；</w:t>
            </w:r>
          </w:p>
          <w:p>
            <w:pPr>
              <w:tabs>
                <w:tab w:val="left" w:pos="7937"/>
              </w:tabs>
              <w:spacing w:line="26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3、不依法履行监督职责或者监督不力；</w:t>
            </w:r>
          </w:p>
          <w:p>
            <w:pPr>
              <w:tabs>
                <w:tab w:val="left" w:pos="7937"/>
              </w:tabs>
              <w:spacing w:line="26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4、管理的工作人员滥用职权、徇私舞弊、玩忽职守的；</w:t>
            </w:r>
          </w:p>
          <w:p>
            <w:pPr>
              <w:tabs>
                <w:tab w:val="left" w:pos="7937"/>
              </w:tabs>
              <w:spacing w:line="26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5、管理的工作人员索贿、受贿，谋取不正当利益的；</w:t>
            </w:r>
          </w:p>
          <w:p>
            <w:pPr>
              <w:tabs>
                <w:tab w:val="left" w:pos="7937"/>
              </w:tabs>
              <w:spacing w:line="26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6、其他违反法律法规规章文件规定的行为。</w:t>
            </w:r>
          </w:p>
        </w:tc>
        <w:tc>
          <w:tcPr>
            <w:tcW w:w="1450" w:type="dxa"/>
            <w:vAlign w:val="center"/>
          </w:tcPr>
          <w:p>
            <w:pPr>
              <w:spacing w:line="6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8"/>
                <w:szCs w:val="18"/>
              </w:rPr>
              <w:t>行政备案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0" w:type="dxa"/>
            <w:vAlign w:val="center"/>
          </w:tcPr>
          <w:p>
            <w:pPr>
              <w:widowControl/>
              <w:spacing w:line="24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w:t>
            </w:r>
          </w:p>
        </w:tc>
        <w:tc>
          <w:tcPr>
            <w:tcW w:w="1475" w:type="dxa"/>
            <w:vAlign w:val="center"/>
          </w:tcPr>
          <w:p>
            <w:pPr>
              <w:tabs>
                <w:tab w:val="left" w:pos="7937"/>
              </w:tabs>
              <w:spacing w:line="2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8"/>
                <w:szCs w:val="18"/>
              </w:rPr>
              <w:t>食品小摊点备案卡核发</w:t>
            </w:r>
          </w:p>
        </w:tc>
        <w:tc>
          <w:tcPr>
            <w:tcW w:w="5250" w:type="dxa"/>
          </w:tcPr>
          <w:p>
            <w:pPr>
              <w:spacing w:line="360" w:lineRule="auto"/>
              <w:jc w:val="left"/>
              <w:rPr>
                <w:rFonts w:hint="eastAsia" w:asciiTheme="minorEastAsia" w:hAnsiTheme="minorEastAsia" w:eastAsiaTheme="minorEastAsia" w:cstheme="minorEastAsia"/>
                <w:sz w:val="15"/>
                <w:szCs w:val="15"/>
              </w:rPr>
            </w:pPr>
          </w:p>
          <w:p>
            <w:pPr>
              <w:spacing w:line="360" w:lineRule="auto"/>
              <w:jc w:val="lef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1.《河北省食品小作坊小餐饮小摊点管理条例》（2016年3月29日河北省第十二届人民代表大会常务委员会第二十次会议通过）第十二条、第十三条</w:t>
            </w:r>
          </w:p>
          <w:p>
            <w:pPr>
              <w:spacing w:line="360" w:lineRule="auto"/>
              <w:jc w:val="lef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2.参照《行政许可法》第三十七条“行政机关对行政许可申请进行审查后，除当场作出行政许可决定的外，应当在法定期限内按照规定程序作出行政许可决定。”</w:t>
            </w:r>
          </w:p>
          <w:p>
            <w:pPr>
              <w:spacing w:line="360" w:lineRule="auto"/>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5"/>
                <w:szCs w:val="15"/>
              </w:rPr>
              <w:t>3.参照《行政许可法 》第六十一条“行政机关应当建立健全监督制度，通过核查反映被许可人从事行政许可事项活动情况的有关材料，履行监督责任。</w:t>
            </w:r>
          </w:p>
        </w:tc>
        <w:tc>
          <w:tcPr>
            <w:tcW w:w="4862" w:type="dxa"/>
            <w:vAlign w:val="center"/>
          </w:tcPr>
          <w:p>
            <w:pPr>
              <w:jc w:val="lef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四十八条 违反本条例规定，县级以上人民政府及其食品药品监督管理等有关部门有下列行为之一的，对直接负责的主管人员和其他直接责任人员给予警告、记过或者记大过处分;情节较重的，给予降级或者撤职处分;情节严重的，给予开除处分：</w:t>
            </w:r>
          </w:p>
          <w:p>
            <w:pPr>
              <w:jc w:val="lef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(一)受理投诉、举报后不及时处理的;</w:t>
            </w:r>
          </w:p>
          <w:p>
            <w:pPr>
              <w:jc w:val="lef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(二)泄露举报人信息或者举报内容的;</w:t>
            </w:r>
          </w:p>
          <w:p>
            <w:pPr>
              <w:jc w:val="lef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(三)对不符合条件的申请人准予登记的;</w:t>
            </w:r>
          </w:p>
          <w:p>
            <w:pPr>
              <w:jc w:val="lef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(四)未建立网上信息平台，影响联动审批的;</w:t>
            </w:r>
          </w:p>
          <w:p>
            <w:pPr>
              <w:jc w:val="lef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(五)未组织实施本行政区域内小作坊、小餐饮、小摊点食品安全年度监督管理计划或者方案的;</w:t>
            </w:r>
          </w:p>
          <w:p>
            <w:pPr>
              <w:jc w:val="lef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(六)不履行食品安全监督管理职责，导致发生食品安全事故或者对食品安全事故不及时报告、处理的;</w:t>
            </w:r>
          </w:p>
          <w:p>
            <w:pPr>
              <w:jc w:val="lef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(七)应当建立黑名单而未建立的;</w:t>
            </w:r>
          </w:p>
          <w:p>
            <w:pPr>
              <w:jc w:val="lef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(八)违法实施检查、强制等执法措施的;</w:t>
            </w:r>
          </w:p>
          <w:p>
            <w:pPr>
              <w:jc w:val="lef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(九)其他滥用职权、玩忽职守、徇私舞弊行为的。</w:t>
            </w:r>
          </w:p>
          <w:p>
            <w:pPr>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5"/>
                <w:szCs w:val="15"/>
              </w:rPr>
              <w:t>第四十九条 乡(镇)人民政府、街道办事处不按照本条例规定履行职责的，对其直接负责的主管人员和其他直接责任人员依法给予处分。</w:t>
            </w:r>
          </w:p>
        </w:tc>
        <w:tc>
          <w:tcPr>
            <w:tcW w:w="1450" w:type="dxa"/>
            <w:vAlign w:val="center"/>
          </w:tcPr>
          <w:p>
            <w:pPr>
              <w:spacing w:line="6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8"/>
                <w:szCs w:val="18"/>
              </w:rPr>
              <w:t>行政备案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0" w:type="dxa"/>
            <w:vAlign w:val="center"/>
          </w:tcPr>
          <w:p>
            <w:pPr>
              <w:widowControl/>
              <w:spacing w:line="24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w:t>
            </w:r>
          </w:p>
        </w:tc>
        <w:tc>
          <w:tcPr>
            <w:tcW w:w="1475" w:type="dxa"/>
            <w:vAlign w:val="center"/>
          </w:tcPr>
          <w:p>
            <w:pPr>
              <w:tabs>
                <w:tab w:val="left" w:pos="7937"/>
              </w:tabs>
              <w:spacing w:line="2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8"/>
                <w:szCs w:val="18"/>
              </w:rPr>
              <w:t>食品小摊点备案卡延续</w:t>
            </w:r>
          </w:p>
        </w:tc>
        <w:tc>
          <w:tcPr>
            <w:tcW w:w="5250" w:type="dxa"/>
          </w:tcPr>
          <w:p>
            <w:pPr>
              <w:spacing w:line="360" w:lineRule="auto"/>
              <w:jc w:val="left"/>
              <w:rPr>
                <w:rFonts w:hint="eastAsia" w:asciiTheme="minorEastAsia" w:hAnsiTheme="minorEastAsia" w:eastAsiaTheme="minorEastAsia" w:cstheme="minorEastAsia"/>
                <w:sz w:val="15"/>
                <w:szCs w:val="15"/>
              </w:rPr>
            </w:pPr>
          </w:p>
          <w:p>
            <w:pPr>
              <w:spacing w:line="360" w:lineRule="auto"/>
              <w:jc w:val="lef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1.《河北省食品小作坊小餐饮小摊点管理条例》（2016年3月29日河北省第十二届人民代表大会常务委员会第二十次会议通过）第十二条、第十三条</w:t>
            </w:r>
          </w:p>
          <w:p>
            <w:pPr>
              <w:spacing w:line="360" w:lineRule="auto"/>
              <w:jc w:val="lef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2.参照《行政许可法》第三十七条“行政机关对行政许可申请进行审查后，除当场作出行政许可决定的外，应当在法定期限内按照规定程序作出行政许可决定。”</w:t>
            </w:r>
          </w:p>
          <w:p>
            <w:pPr>
              <w:spacing w:line="360" w:lineRule="auto"/>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5"/>
                <w:szCs w:val="15"/>
              </w:rPr>
              <w:t>3.参照《行政许可法 》第六十一条“行政机关应当建立健全监督制度，通过核查反映被许可人从事行政许可事项活动情况的有关材料，履行监督责任。</w:t>
            </w:r>
          </w:p>
        </w:tc>
        <w:tc>
          <w:tcPr>
            <w:tcW w:w="4862" w:type="dxa"/>
            <w:vAlign w:val="center"/>
          </w:tcPr>
          <w:p>
            <w:pPr>
              <w:jc w:val="lef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四十八条 违反本条例规定，县级以上人民政府及其食品药品监督管理等有关部门有下列行为之一的，对直接负责的主管人员和其他直接责任人员给予警告、记过或者记大过处分;情节较重的，给予降级或者撤职处分;情节严重的，给予开除处分：</w:t>
            </w:r>
          </w:p>
          <w:p>
            <w:pPr>
              <w:jc w:val="lef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(一)受理投诉、举报后不及时处理的;</w:t>
            </w:r>
          </w:p>
          <w:p>
            <w:pPr>
              <w:jc w:val="lef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(二)泄露举报人信息或者举报内容的;</w:t>
            </w:r>
          </w:p>
          <w:p>
            <w:pPr>
              <w:jc w:val="lef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(三)对不符合条件的申请人准予登记的;</w:t>
            </w:r>
          </w:p>
          <w:p>
            <w:pPr>
              <w:jc w:val="lef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(四)未建立网上信息平台，影响联动审批的;</w:t>
            </w:r>
          </w:p>
          <w:p>
            <w:pPr>
              <w:jc w:val="lef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(五)未组织实施本行政区域内小作坊、小餐饮、小摊点食品安全年度监督管理计划或者方案的;</w:t>
            </w:r>
          </w:p>
          <w:p>
            <w:pPr>
              <w:jc w:val="lef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　(六)不履行食品安全监督管理职责，导致发生食品安全事故或者对食品安全事故不及时报告、处理的;</w:t>
            </w:r>
          </w:p>
          <w:p>
            <w:pPr>
              <w:jc w:val="lef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(七)应当建立黑名单而未建立的;</w:t>
            </w:r>
          </w:p>
          <w:p>
            <w:pPr>
              <w:jc w:val="lef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(八)违法实施检查、强制等执法措施的;</w:t>
            </w:r>
          </w:p>
          <w:p>
            <w:pPr>
              <w:jc w:val="lef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(九)其他滥用职权、玩忽职守、徇私舞弊行为的。</w:t>
            </w:r>
          </w:p>
          <w:p>
            <w:pPr>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5"/>
                <w:szCs w:val="15"/>
              </w:rPr>
              <w:t>第四十九条 乡(镇)人民政府、街道办事处不按照本条例规定履行职责的，对其直接负责的主管人员和其他直接责任人员依法给予处分。</w:t>
            </w:r>
          </w:p>
        </w:tc>
        <w:tc>
          <w:tcPr>
            <w:tcW w:w="1450" w:type="dxa"/>
            <w:vAlign w:val="center"/>
          </w:tcPr>
          <w:p>
            <w:pPr>
              <w:spacing w:line="6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8"/>
                <w:szCs w:val="18"/>
              </w:rPr>
              <w:t>行政备案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0" w:type="dxa"/>
            <w:vAlign w:val="center"/>
          </w:tcPr>
          <w:p>
            <w:pPr>
              <w:widowControl/>
              <w:spacing w:line="24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6</w:t>
            </w:r>
          </w:p>
        </w:tc>
        <w:tc>
          <w:tcPr>
            <w:tcW w:w="1475" w:type="dxa"/>
            <w:vAlign w:val="center"/>
          </w:tcPr>
          <w:p>
            <w:pPr>
              <w:widowControl/>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8"/>
                <w:szCs w:val="18"/>
              </w:rPr>
              <w:t>异地转诊人员备案</w:t>
            </w:r>
          </w:p>
        </w:tc>
        <w:tc>
          <w:tcPr>
            <w:tcW w:w="5250" w:type="dxa"/>
            <w:vAlign w:val="center"/>
          </w:tcPr>
          <w:p>
            <w:pPr>
              <w:tabs>
                <w:tab w:val="left" w:pos="7937"/>
              </w:tabs>
              <w:spacing w:line="26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《人力资源和社会保障部 财政部关于做好基本医疗保险跨省异地就医住院医疗费用直接结算工作的通知》</w:t>
            </w:r>
          </w:p>
        </w:tc>
        <w:tc>
          <w:tcPr>
            <w:tcW w:w="4862" w:type="dxa"/>
            <w:vAlign w:val="center"/>
          </w:tcPr>
          <w:p>
            <w:pPr>
              <w:tabs>
                <w:tab w:val="left" w:pos="7937"/>
              </w:tabs>
              <w:spacing w:line="26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因不履行或不正确履行行政职责，有下列情形的，行政机关及相关工作人员应承担相应责任：</w:t>
            </w:r>
          </w:p>
          <w:p>
            <w:pPr>
              <w:tabs>
                <w:tab w:val="left" w:pos="7937"/>
              </w:tabs>
              <w:spacing w:line="26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1、对符合受理条件的行政认定申请不予受理的；</w:t>
            </w:r>
          </w:p>
          <w:p>
            <w:pPr>
              <w:tabs>
                <w:tab w:val="left" w:pos="7937"/>
              </w:tabs>
              <w:spacing w:line="26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2、未严格按照相关政策、法律、法规履行审查义务，对应当予以认定的不予认定，或者对不应认定的予以认定；</w:t>
            </w:r>
          </w:p>
          <w:p>
            <w:pPr>
              <w:tabs>
                <w:tab w:val="left" w:pos="7937"/>
              </w:tabs>
              <w:spacing w:line="26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3、不依法履行监督职责或者监督不力；</w:t>
            </w:r>
          </w:p>
          <w:p>
            <w:pPr>
              <w:tabs>
                <w:tab w:val="left" w:pos="7937"/>
              </w:tabs>
              <w:spacing w:line="26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4、管理的工作人员滥用职权、徇私舞弊、玩忽职守的；</w:t>
            </w:r>
          </w:p>
          <w:p>
            <w:pPr>
              <w:tabs>
                <w:tab w:val="left" w:pos="7937"/>
              </w:tabs>
              <w:spacing w:line="26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5、管理的工作人员索贿、受贿，谋取不正当利益的；</w:t>
            </w:r>
          </w:p>
          <w:p>
            <w:pPr>
              <w:tabs>
                <w:tab w:val="left" w:pos="7937"/>
              </w:tabs>
              <w:spacing w:line="26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6、其他违反法律法规规章文件规定的行为。</w:t>
            </w:r>
          </w:p>
        </w:tc>
        <w:tc>
          <w:tcPr>
            <w:tcW w:w="1450" w:type="dxa"/>
            <w:vAlign w:val="center"/>
          </w:tcPr>
          <w:p>
            <w:pPr>
              <w:spacing w:line="6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8"/>
                <w:szCs w:val="18"/>
              </w:rPr>
              <w:t>行政备案</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E9052D"/>
    <w:rsid w:val="002E6F47"/>
    <w:rsid w:val="007570AD"/>
    <w:rsid w:val="009C765C"/>
    <w:rsid w:val="054F41D1"/>
    <w:rsid w:val="18E9052D"/>
    <w:rsid w:val="198A6F61"/>
    <w:rsid w:val="33337E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tabs>
        <w:tab w:val="center" w:pos="4153"/>
        <w:tab w:val="right" w:pos="8306"/>
      </w:tabs>
      <w:snapToGrid w:val="0"/>
      <w:jc w:val="center"/>
    </w:pPr>
    <w:rPr>
      <w:sz w:val="18"/>
      <w:szCs w:val="18"/>
    </w:rPr>
  </w:style>
  <w:style w:type="character" w:customStyle="1" w:styleId="6">
    <w:name w:val="页眉 字符"/>
    <w:basedOn w:val="5"/>
    <w:link w:val="3"/>
    <w:qFormat/>
    <w:uiPriority w:val="0"/>
    <w:rPr>
      <w:rFonts w:ascii="Times New Roman" w:hAnsi="Times New Roman" w:eastAsia="仿宋_GB2312" w:cs="Times New Roman"/>
      <w:kern w:val="2"/>
      <w:sz w:val="18"/>
      <w:szCs w:val="18"/>
    </w:rPr>
  </w:style>
  <w:style w:type="character" w:customStyle="1" w:styleId="7">
    <w:name w:val="页脚 字符"/>
    <w:basedOn w:val="5"/>
    <w:link w:val="2"/>
    <w:qFormat/>
    <w:uiPriority w:val="0"/>
    <w:rPr>
      <w:rFonts w:ascii="Times New Roman" w:hAnsi="Times New Roman" w:eastAsia="仿宋_GB2312"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288</Words>
  <Characters>1647</Characters>
  <Lines>13</Lines>
  <Paragraphs>3</Paragraphs>
  <TotalTime>0</TotalTime>
  <ScaleCrop>false</ScaleCrop>
  <LinksUpToDate>false</LinksUpToDate>
  <CharactersWithSpaces>1932</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2024-06-19T03:03:00Z</dcterms:created>
  <dc:creator>YANG=</dc:creator>
  <cp:lastModifiedBy>YANG=</cp:lastModifiedBy>
  <dcterms:modified xsi:type="dcterms:W3CDTF">2024-06-19T08:11:16Z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