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责任事项和追责情形依据分表</w:t>
      </w:r>
    </w:p>
    <w:p>
      <w:pPr>
        <w:spacing w:line="600" w:lineRule="exact"/>
        <w:jc w:val="center"/>
        <w:rPr>
          <w:rFonts w:hint="eastAsia" w:asciiTheme="majorEastAsia" w:hAnsiTheme="majorEastAsia" w:eastAsiaTheme="majorEastAsia" w:cstheme="majorEastAsia"/>
          <w:b/>
          <w:bCs/>
          <w:sz w:val="44"/>
          <w:szCs w:val="44"/>
          <w:lang w:val="en-US" w:eastAsia="zh-CN"/>
        </w:rPr>
      </w:pPr>
      <w:r>
        <w:rPr>
          <w:rFonts w:hint="eastAsia" w:asciiTheme="minorEastAsia" w:hAnsiTheme="minorEastAsia" w:eastAsiaTheme="minorEastAsia" w:cstheme="minorEastAsia"/>
          <w:b/>
          <w:bCs/>
        </w:rPr>
        <w:t>（行政</w:t>
      </w:r>
      <w:r>
        <w:rPr>
          <w:rFonts w:hint="eastAsia" w:asciiTheme="minorEastAsia" w:hAnsiTheme="minorEastAsia" w:eastAsiaTheme="minorEastAsia" w:cstheme="minorEastAsia"/>
          <w:b/>
          <w:bCs/>
          <w:lang w:eastAsia="zh-CN"/>
        </w:rPr>
        <w:t>奖励</w:t>
      </w:r>
      <w:r>
        <w:rPr>
          <w:rFonts w:hint="eastAsia" w:asciiTheme="minorEastAsia" w:hAnsiTheme="minorEastAsia" w:eastAsiaTheme="minorEastAsia" w:cstheme="minorEastAsia"/>
          <w:b/>
          <w:bCs/>
          <w:lang w:val="en-US" w:eastAsia="zh-CN"/>
        </w:rPr>
        <w:t>1</w:t>
      </w:r>
      <w:r>
        <w:rPr>
          <w:rFonts w:hint="eastAsia" w:asciiTheme="minorEastAsia" w:hAnsiTheme="minorEastAsia" w:eastAsiaTheme="minorEastAsia" w:cstheme="minorEastAsia"/>
          <w:b/>
          <w:bCs/>
        </w:rPr>
        <w:t>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w:t>
      </w:r>
      <w:bookmarkStart w:id="0" w:name="_GoBack"/>
      <w:bookmarkEnd w:id="0"/>
      <w:r>
        <w:rPr>
          <w:rFonts w:hint="eastAsia" w:asciiTheme="minorEastAsia" w:hAnsiTheme="minorEastAsia" w:eastAsiaTheme="minorEastAsia" w:cstheme="minorEastAsia"/>
          <w:sz w:val="24"/>
          <w:szCs w:val="24"/>
          <w:lang w:val="en-US" w:eastAsia="zh-CN"/>
        </w:rPr>
        <w:t>兴隆宫镇人民政府（公章）</w:t>
      </w:r>
    </w:p>
    <w:tbl>
      <w:tblPr>
        <w:tblStyle w:val="2"/>
        <w:tblpPr w:leftFromText="180" w:rightFromText="180" w:vertAnchor="text" w:tblpXSpec="center" w:tblpY="1"/>
        <w:tblOverlap w:val="never"/>
        <w:tblW w:w="13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序号</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权力事项</w:t>
            </w:r>
          </w:p>
        </w:tc>
        <w:tc>
          <w:tcPr>
            <w:tcW w:w="52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责任事项依据</w:t>
            </w:r>
          </w:p>
        </w:tc>
        <w:tc>
          <w:tcPr>
            <w:tcW w:w="486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追责情形依据</w:t>
            </w:r>
          </w:p>
        </w:tc>
        <w:tc>
          <w:tcPr>
            <w:tcW w:w="14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w:t>
            </w:r>
          </w:p>
        </w:tc>
        <w:tc>
          <w:tcPr>
            <w:tcW w:w="1475" w:type="dxa"/>
            <w:noWrap w:val="0"/>
            <w:vAlign w:val="center"/>
          </w:tcPr>
          <w:p>
            <w:pPr>
              <w:widowControl/>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8"/>
                <w:szCs w:val="18"/>
              </w:rPr>
              <w:t>独生子女父母奖励</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 河北省人口与计划生育条例》（2016年3月29日修正）第五十一条 国家工作人员在人口与计划生育工作中，具有下列行为之一的，依法给予处分;有违法所得的，没收违法所得;构成犯罪的，依法追究刑事责任：</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(一) 侵犯公民人身权、财产权和其他合法权益的;</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(二) 对公民的生育申请在法定期限内无正当理由不予办理或者故意刁难申请人的;</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(三) 弄虚作假或者滥发计划生育证件的;</w:t>
            </w:r>
          </w:p>
          <w:p>
            <w:pPr>
              <w:tabs>
                <w:tab w:val="left" w:pos="7937"/>
              </w:tabs>
              <w:spacing w:line="260" w:lineRule="exact"/>
              <w:ind w:firstLine="360"/>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(四) 虚报、瞒报、伪造、篡改或者拒报人口与计划生育统计数据的; </w:t>
            </w:r>
          </w:p>
          <w:p>
            <w:pPr>
              <w:tabs>
                <w:tab w:val="left" w:pos="7937"/>
              </w:tabs>
              <w:spacing w:line="260" w:lineRule="exact"/>
              <w:ind w:firstLine="360"/>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(五) 滥用职权、玩忽职守、徇私舞弊或者违法违纪并造成重大事故的; </w:t>
            </w:r>
          </w:p>
          <w:p>
            <w:pPr>
              <w:tabs>
                <w:tab w:val="left" w:pos="7937"/>
              </w:tabs>
              <w:spacing w:line="260" w:lineRule="exact"/>
              <w:ind w:firstLine="360"/>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(六) 贪污、截留、克扣、挪用人口与计划生育经费、社会抚养费、没收的违法所得和罚款的; </w:t>
            </w:r>
          </w:p>
          <w:p>
            <w:pPr>
              <w:tabs>
                <w:tab w:val="left" w:pos="7937"/>
              </w:tabs>
              <w:spacing w:line="260" w:lineRule="exact"/>
              <w:ind w:firstLine="360"/>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(七) 索取、收受贿赂的。</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3.同1。</w:t>
            </w:r>
          </w:p>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5"/>
                <w:szCs w:val="15"/>
              </w:rPr>
              <w:t>4.同1。</w:t>
            </w:r>
          </w:p>
        </w:tc>
        <w:tc>
          <w:tcPr>
            <w:tcW w:w="4862" w:type="dxa"/>
            <w:noWrap w:val="0"/>
            <w:vAlign w:val="center"/>
          </w:tcPr>
          <w:p>
            <w:pPr>
              <w:widowControl/>
              <w:spacing w:line="230" w:lineRule="exact"/>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1.《中华人民共和国公务员法》第五十三条 公务员必须遵守纪律，不得有下列行为：玩忽职守，贻误工作。</w:t>
            </w:r>
          </w:p>
          <w:p>
            <w:pPr>
              <w:widowControl/>
              <w:spacing w:line="230" w:lineRule="exact"/>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2.《行政机关公务员处分条例》（中华人民共和国国务院令 第495号）第二十条：（四）其他玩忽职守、贻误工作的行为。第二十五条：（五）其他滥用职权，侵害公民.法人或者其他组织合法权益的行为。</w:t>
            </w:r>
          </w:p>
          <w:p>
            <w:pPr>
              <w:tabs>
                <w:tab w:val="left" w:pos="7937"/>
              </w:tabs>
              <w:spacing w:line="23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widowControl/>
              <w:spacing w:line="230" w:lineRule="exact"/>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4.同3。</w:t>
            </w:r>
          </w:p>
          <w:p>
            <w:pPr>
              <w:widowControl/>
              <w:spacing w:line="230" w:lineRule="exact"/>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机关公务员处分条例》第23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spacing w:line="230" w:lineRule="exact"/>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6.同5。</w:t>
            </w:r>
          </w:p>
          <w:p>
            <w:pPr>
              <w:widowControl/>
              <w:spacing w:line="230" w:lineRule="exact"/>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5"/>
                <w:szCs w:val="15"/>
              </w:rPr>
              <w:t>7.同5。</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行政奖励</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9052D"/>
    <w:rsid w:val="0C8876D2"/>
    <w:rsid w:val="18E9052D"/>
    <w:rsid w:val="225906F9"/>
    <w:rsid w:val="42FC25E4"/>
    <w:rsid w:val="70B81FDF"/>
    <w:rsid w:val="7B03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2024-06-19T03:03:00Z</dcterms:created>
  <dc:creator>YANG=</dc:creator>
  <cp:lastModifiedBy>YANG=</cp:lastModifiedBy>
  <dcterms:modified xsi:type="dcterms:W3CDTF">2024-06-19T08:14:20Z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