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BB187C" w:rsidRDefault="00BB187C">
      <w:pPr>
        <w:widowControl/>
        <w:spacing w:line="1200" w:lineRule="exact"/>
        <w:jc w:val="center"/>
        <w:rPr>
          <w:rFonts w:asciiTheme="minorEastAsia" w:eastAsiaTheme="minorEastAsia" w:hAnsi="宋体"/>
          <w:color w:val="000000" w:themeColor="text1"/>
          <w:sz w:val="96"/>
          <w:szCs w:val="96"/>
        </w:rPr>
      </w:pPr>
    </w:p>
    <w:p w:rsidR="00BB187C" w:rsidRDefault="00BB187C">
      <w:pPr>
        <w:widowControl/>
        <w:spacing w:line="1200" w:lineRule="exact"/>
        <w:jc w:val="center"/>
        <w:rPr>
          <w:rFonts w:asciiTheme="minorEastAsia" w:eastAsiaTheme="minorEastAsia" w:hAnsi="宋体"/>
          <w:color w:val="000000" w:themeColor="text1"/>
          <w:sz w:val="96"/>
          <w:szCs w:val="96"/>
        </w:rPr>
      </w:pPr>
    </w:p>
    <w:p w:rsidR="00BB187C" w:rsidRDefault="00104937">
      <w:pPr>
        <w:widowControl/>
        <w:spacing w:line="1200" w:lineRule="exact"/>
        <w:jc w:val="center"/>
        <w:rPr>
          <w:color w:val="000000" w:themeColor="text1"/>
          <w:sz w:val="96"/>
          <w:szCs w:val="96"/>
        </w:rPr>
      </w:pPr>
      <w:r>
        <w:rPr>
          <w:sz w:val="84"/>
          <w:szCs w:val="84"/>
        </w:rPr>
        <w:t>201</w:t>
      </w:r>
      <w:r>
        <w:rPr>
          <w:rFonts w:hint="eastAsia"/>
          <w:sz w:val="84"/>
          <w:szCs w:val="84"/>
        </w:rPr>
        <w:t>8</w:t>
      </w:r>
      <w:r>
        <w:rPr>
          <w:sz w:val="84"/>
          <w:szCs w:val="84"/>
        </w:rPr>
        <w:t>年度部门决算公开</w:t>
      </w:r>
    </w:p>
    <w:p w:rsidR="00BB187C" w:rsidRDefault="00BB187C">
      <w:pPr>
        <w:widowControl/>
        <w:jc w:val="center"/>
        <w:rPr>
          <w:rFonts w:asciiTheme="minorEastAsia" w:eastAsiaTheme="minorEastAsia" w:hAnsi="宋体"/>
          <w:color w:val="002060"/>
          <w:sz w:val="72"/>
          <w:szCs w:val="72"/>
        </w:rPr>
      </w:pPr>
    </w:p>
    <w:p w:rsidR="00BB187C" w:rsidRDefault="00BB187C">
      <w:pPr>
        <w:widowControl/>
        <w:jc w:val="center"/>
        <w:rPr>
          <w:rFonts w:asciiTheme="minorEastAsia" w:eastAsiaTheme="minorEastAsia" w:hAnsiTheme="minorEastAsia"/>
          <w:b/>
          <w:sz w:val="72"/>
          <w:szCs w:val="72"/>
        </w:rPr>
      </w:pPr>
    </w:p>
    <w:p w:rsidR="00BB187C" w:rsidRDefault="00BB187C">
      <w:pPr>
        <w:widowControl/>
        <w:jc w:val="center"/>
        <w:rPr>
          <w:rFonts w:asciiTheme="minorEastAsia" w:eastAsiaTheme="minorEastAsia" w:hAnsiTheme="minorEastAsia"/>
          <w:b/>
          <w:sz w:val="72"/>
          <w:szCs w:val="72"/>
        </w:rPr>
      </w:pPr>
    </w:p>
    <w:p w:rsidR="00BB187C" w:rsidRDefault="00BB187C">
      <w:pPr>
        <w:widowControl/>
        <w:jc w:val="center"/>
        <w:rPr>
          <w:rFonts w:asciiTheme="minorEastAsia" w:eastAsiaTheme="minorEastAsia" w:hAnsiTheme="minorEastAsia"/>
          <w:b/>
          <w:sz w:val="72"/>
          <w:szCs w:val="72"/>
        </w:rPr>
      </w:pPr>
    </w:p>
    <w:p w:rsidR="00BB187C" w:rsidRDefault="00BB187C">
      <w:pPr>
        <w:widowControl/>
        <w:jc w:val="center"/>
        <w:rPr>
          <w:rFonts w:asciiTheme="minorEastAsia" w:eastAsiaTheme="minorEastAsia" w:hAnsiTheme="minorEastAsia"/>
          <w:b/>
          <w:sz w:val="72"/>
          <w:szCs w:val="72"/>
        </w:rPr>
      </w:pPr>
    </w:p>
    <w:p w:rsidR="00BB187C" w:rsidRDefault="00BB187C">
      <w:pPr>
        <w:widowControl/>
        <w:jc w:val="center"/>
        <w:rPr>
          <w:rFonts w:asciiTheme="minorEastAsia" w:eastAsiaTheme="minorEastAsia" w:hAnsiTheme="minorEastAsia"/>
          <w:b/>
          <w:sz w:val="72"/>
          <w:szCs w:val="72"/>
        </w:rPr>
      </w:pPr>
    </w:p>
    <w:p w:rsidR="00BB187C" w:rsidRDefault="00104937">
      <w:pPr>
        <w:widowControl/>
        <w:ind w:firstLineChars="500" w:firstLine="2209"/>
        <w:rPr>
          <w:rFonts w:ascii="楷体" w:eastAsia="楷体" w:hAnsi="楷体" w:cs="楷体"/>
          <w:b/>
          <w:sz w:val="44"/>
          <w:szCs w:val="44"/>
        </w:rPr>
        <w:sectPr w:rsidR="00BB187C">
          <w:pgSz w:w="11906" w:h="16838"/>
          <w:pgMar w:top="2098" w:right="1474" w:bottom="1985" w:left="1588" w:header="851" w:footer="992" w:gutter="0"/>
          <w:cols w:space="425"/>
          <w:docGrid w:type="lines" w:linePitch="312"/>
        </w:sectPr>
      </w:pPr>
      <w:r>
        <w:rPr>
          <w:rFonts w:ascii="楷体" w:eastAsia="楷体" w:hAnsi="楷体" w:cs="楷体" w:hint="eastAsia"/>
          <w:b/>
          <w:sz w:val="44"/>
          <w:szCs w:val="44"/>
        </w:rPr>
        <w:t>文安县农业开发办公室</w:t>
      </w:r>
    </w:p>
    <w:p w:rsidR="00BB187C" w:rsidRDefault="00BB187C"/>
    <w:p w:rsidR="00BB187C" w:rsidRDefault="00BB187C"/>
    <w:p w:rsidR="00BB187C" w:rsidRDefault="00BB187C"/>
    <w:p w:rsidR="00BB187C" w:rsidRDefault="00BB187C"/>
    <w:p w:rsidR="00BB187C" w:rsidRDefault="00BB187C"/>
    <w:p w:rsidR="00BB187C" w:rsidRDefault="00BB187C"/>
    <w:p w:rsidR="00BB187C" w:rsidRDefault="00104937">
      <w:pPr>
        <w:widowControl/>
        <w:jc w:val="center"/>
        <w:rPr>
          <w:color w:val="000000" w:themeColor="text1"/>
          <w:sz w:val="96"/>
          <w:szCs w:val="96"/>
        </w:rPr>
      </w:pPr>
      <w:r>
        <w:rPr>
          <w:rFonts w:asciiTheme="minorEastAsia" w:eastAsiaTheme="minorEastAsia" w:hAnsi="宋体" w:hint="eastAsia"/>
          <w:color w:val="000000" w:themeColor="text1"/>
          <w:sz w:val="96"/>
          <w:szCs w:val="96"/>
        </w:rPr>
        <w:t>第一部分  部门概况</w:t>
      </w:r>
    </w:p>
    <w:p w:rsidR="00BB187C" w:rsidRDefault="00BB187C"/>
    <w:p w:rsidR="00BB187C" w:rsidRDefault="00BB187C"/>
    <w:p w:rsidR="00BB187C" w:rsidRDefault="00BB187C"/>
    <w:p w:rsidR="00BB187C" w:rsidRDefault="00BB187C"/>
    <w:p w:rsidR="00BB187C" w:rsidRDefault="00BB187C"/>
    <w:p w:rsidR="00BB187C" w:rsidRDefault="00BB187C"/>
    <w:p w:rsidR="00BB187C" w:rsidRDefault="00BB187C"/>
    <w:p w:rsidR="00BB187C" w:rsidRDefault="00BB187C"/>
    <w:p w:rsidR="00BB187C" w:rsidRDefault="00104937">
      <w:pPr>
        <w:pStyle w:val="1"/>
        <w:spacing w:before="0" w:after="0" w:line="600" w:lineRule="exact"/>
        <w:jc w:val="left"/>
        <w:rPr>
          <w:rFonts w:ascii="黑体" w:eastAsia="黑体" w:hAnsiTheme="minorHAnsi" w:cs="黑体"/>
          <w:b w:val="0"/>
          <w:bCs w:val="0"/>
          <w:kern w:val="0"/>
          <w:sz w:val="32"/>
          <w:szCs w:val="32"/>
        </w:rPr>
      </w:pPr>
      <w:r>
        <w:rPr>
          <w:rFonts w:ascii="黑体" w:eastAsia="黑体" w:hAnsiTheme="minorHAnsi" w:cs="黑体" w:hint="eastAsia"/>
          <w:b w:val="0"/>
          <w:bCs w:val="0"/>
          <w:kern w:val="0"/>
          <w:sz w:val="32"/>
          <w:szCs w:val="32"/>
        </w:rPr>
        <w:lastRenderedPageBreak/>
        <w:t>一、部门职责</w:t>
      </w:r>
    </w:p>
    <w:p w:rsidR="00BB187C" w:rsidRDefault="00104937">
      <w:pPr>
        <w:spacing w:after="0" w:line="560" w:lineRule="exact"/>
        <w:rPr>
          <w:rFonts w:ascii="仿宋_GB2312" w:eastAsia="仿宋_GB2312" w:hAnsiTheme="minorHAnsi" w:cs="ArialUnicodeMS"/>
          <w:kern w:val="0"/>
          <w:sz w:val="32"/>
          <w:szCs w:val="32"/>
        </w:rPr>
      </w:pPr>
      <w:r>
        <w:rPr>
          <w:rFonts w:ascii="仿宋_GB2312" w:eastAsia="仿宋_GB2312" w:hAnsiTheme="minorHAnsi" w:cs="ArialUnicodeMS" w:hint="eastAsia"/>
          <w:kern w:val="0"/>
          <w:sz w:val="32"/>
          <w:szCs w:val="32"/>
        </w:rPr>
        <w:t>（一）拟定全县农业综合开发规划和实施计划；对全县农业综合开发工作进行综合、协调、主导、服务。</w:t>
      </w:r>
    </w:p>
    <w:p w:rsidR="00BB187C" w:rsidRDefault="00104937">
      <w:pPr>
        <w:spacing w:after="0" w:line="560" w:lineRule="exact"/>
        <w:rPr>
          <w:rFonts w:ascii="仿宋_GB2312" w:eastAsia="仿宋_GB2312" w:hAnsiTheme="minorHAnsi" w:cs="ArialUnicodeMS"/>
          <w:kern w:val="0"/>
          <w:sz w:val="32"/>
          <w:szCs w:val="32"/>
        </w:rPr>
      </w:pPr>
      <w:r>
        <w:rPr>
          <w:rFonts w:ascii="仿宋_GB2312" w:eastAsia="仿宋_GB2312" w:hAnsiTheme="minorHAnsi" w:cs="ArialUnicodeMS" w:hint="eastAsia"/>
          <w:kern w:val="0"/>
          <w:sz w:val="32"/>
          <w:szCs w:val="32"/>
        </w:rPr>
        <w:t>（二）贯彻执行国家、省、市农业开发方针、政策；研究提出全县农业综合开发项目立项、实施、检查、验收等管理办法，经批准后组织实施、并负责监督检查。</w:t>
      </w:r>
    </w:p>
    <w:p w:rsidR="00BB187C" w:rsidRDefault="00104937">
      <w:pPr>
        <w:spacing w:after="0" w:line="560" w:lineRule="exact"/>
        <w:rPr>
          <w:rFonts w:ascii="仿宋_GB2312" w:eastAsia="仿宋_GB2312" w:hAnsiTheme="minorHAnsi" w:cs="ArialUnicodeMS"/>
          <w:kern w:val="0"/>
          <w:sz w:val="32"/>
          <w:szCs w:val="32"/>
        </w:rPr>
      </w:pPr>
      <w:r>
        <w:rPr>
          <w:rFonts w:ascii="仿宋_GB2312" w:eastAsia="仿宋_GB2312" w:hAnsiTheme="minorHAnsi" w:cs="ArialUnicodeMS" w:hint="eastAsia"/>
          <w:kern w:val="0"/>
          <w:sz w:val="32"/>
          <w:szCs w:val="32"/>
        </w:rPr>
        <w:t>（三）评估审查有关农业综合开发项目，申报项目计划；督促检查农业综合开发项目及其计划执行情况。</w:t>
      </w:r>
    </w:p>
    <w:p w:rsidR="00BB187C" w:rsidRDefault="00104937">
      <w:pPr>
        <w:spacing w:after="0" w:line="560" w:lineRule="exact"/>
        <w:rPr>
          <w:rFonts w:ascii="仿宋_GB2312" w:eastAsia="仿宋_GB2312" w:hAnsiTheme="minorHAnsi" w:cs="ArialUnicodeMS"/>
          <w:kern w:val="0"/>
          <w:sz w:val="32"/>
          <w:szCs w:val="32"/>
        </w:rPr>
      </w:pPr>
      <w:r>
        <w:rPr>
          <w:rFonts w:ascii="仿宋_GB2312" w:eastAsia="仿宋_GB2312" w:hAnsiTheme="minorHAnsi" w:cs="ArialUnicodeMS" w:hint="eastAsia"/>
          <w:kern w:val="0"/>
          <w:sz w:val="32"/>
          <w:szCs w:val="32"/>
        </w:rPr>
        <w:t>（四）管理和组织实施国家和省市立项的土地治理项目、多种经营及龙头项目、农业高新技术园区项目以及其他农业综合开发项目。</w:t>
      </w:r>
    </w:p>
    <w:p w:rsidR="00BB187C" w:rsidRDefault="00104937">
      <w:pPr>
        <w:spacing w:after="0" w:line="560" w:lineRule="exact"/>
        <w:rPr>
          <w:rFonts w:ascii="仿宋_GB2312" w:eastAsia="仿宋_GB2312" w:hAnsiTheme="minorHAnsi" w:cs="ArialUnicodeMS"/>
          <w:kern w:val="0"/>
          <w:sz w:val="32"/>
          <w:szCs w:val="32"/>
        </w:rPr>
      </w:pPr>
      <w:r>
        <w:rPr>
          <w:rFonts w:ascii="仿宋_GB2312" w:eastAsia="仿宋_GB2312" w:hAnsiTheme="minorHAnsi" w:cs="ArialUnicodeMS" w:hint="eastAsia"/>
          <w:kern w:val="0"/>
          <w:sz w:val="32"/>
          <w:szCs w:val="32"/>
        </w:rPr>
        <w:t>（五）做好全县农业产业化的谋划发展、规划制定、政策落实、组织协调、上报下达、调查研究、立项评审工作。</w:t>
      </w:r>
    </w:p>
    <w:p w:rsidR="00BB187C" w:rsidRDefault="00104937">
      <w:pPr>
        <w:spacing w:after="0" w:line="560" w:lineRule="exact"/>
        <w:rPr>
          <w:rFonts w:ascii="仿宋_GB2312" w:eastAsia="仿宋_GB2312" w:hAnsiTheme="minorHAnsi" w:cs="ArialUnicodeMS"/>
          <w:kern w:val="0"/>
          <w:sz w:val="32"/>
          <w:szCs w:val="32"/>
        </w:rPr>
      </w:pPr>
      <w:r>
        <w:rPr>
          <w:rFonts w:ascii="仿宋_GB2312" w:eastAsia="仿宋_GB2312" w:hAnsiTheme="minorHAnsi" w:cs="ArialUnicodeMS" w:hint="eastAsia"/>
          <w:kern w:val="0"/>
          <w:sz w:val="32"/>
          <w:szCs w:val="32"/>
        </w:rPr>
        <w:t>（六）做好农业现状专项调查数据整理及农业区划技术档案、规划报告等；负责全县的农业规划、政策制定、情况掌握、信息反馈、上报下达。</w:t>
      </w:r>
    </w:p>
    <w:p w:rsidR="00BB187C" w:rsidRDefault="00104937">
      <w:pPr>
        <w:spacing w:after="0" w:line="560" w:lineRule="exact"/>
        <w:rPr>
          <w:rFonts w:ascii="仿宋_GB2312" w:eastAsia="仿宋_GB2312" w:hAnsiTheme="minorHAnsi" w:cs="ArialUnicodeMS"/>
          <w:kern w:val="0"/>
          <w:sz w:val="32"/>
          <w:szCs w:val="32"/>
        </w:rPr>
      </w:pPr>
      <w:r>
        <w:rPr>
          <w:rFonts w:ascii="仿宋_GB2312" w:eastAsia="仿宋_GB2312" w:hAnsiTheme="minorHAnsi" w:cs="ArialUnicodeMS" w:hint="eastAsia"/>
          <w:kern w:val="0"/>
          <w:sz w:val="32"/>
          <w:szCs w:val="32"/>
        </w:rPr>
        <w:t>（七）上级交办的农业现状专项区划调查。</w:t>
      </w:r>
    </w:p>
    <w:p w:rsidR="00BB187C" w:rsidRDefault="00104937">
      <w:pPr>
        <w:spacing w:after="0" w:line="560" w:lineRule="exact"/>
        <w:rPr>
          <w:rFonts w:ascii="仿宋_GB2312" w:eastAsia="仿宋_GB2312" w:hAnsiTheme="minorHAnsi" w:cs="ArialUnicodeMS"/>
          <w:kern w:val="0"/>
          <w:sz w:val="32"/>
          <w:szCs w:val="32"/>
        </w:rPr>
      </w:pPr>
      <w:r>
        <w:rPr>
          <w:rFonts w:ascii="仿宋_GB2312" w:eastAsia="仿宋_GB2312" w:hAnsiTheme="minorHAnsi" w:cs="ArialUnicodeMS" w:hint="eastAsia"/>
          <w:kern w:val="0"/>
          <w:sz w:val="32"/>
          <w:szCs w:val="32"/>
        </w:rPr>
        <w:t>（八）承办县政府和县财政局交办的其他工作。</w:t>
      </w:r>
    </w:p>
    <w:p w:rsidR="00BB187C" w:rsidRDefault="00104937">
      <w:pPr>
        <w:pStyle w:val="1"/>
        <w:spacing w:before="0" w:after="0" w:line="600" w:lineRule="exact"/>
        <w:jc w:val="left"/>
        <w:rPr>
          <w:rFonts w:ascii="黑体" w:eastAsia="黑体" w:hAnsiTheme="minorHAnsi" w:cs="黑体"/>
          <w:b w:val="0"/>
          <w:bCs w:val="0"/>
          <w:kern w:val="0"/>
          <w:sz w:val="32"/>
          <w:szCs w:val="32"/>
        </w:rPr>
      </w:pPr>
      <w:r>
        <w:rPr>
          <w:rFonts w:ascii="黑体" w:eastAsia="黑体" w:hAnsiTheme="minorHAnsi" w:cs="黑体" w:hint="eastAsia"/>
          <w:b w:val="0"/>
          <w:bCs w:val="0"/>
          <w:kern w:val="0"/>
          <w:sz w:val="32"/>
          <w:szCs w:val="32"/>
        </w:rPr>
        <w:t>二、机构设置</w:t>
      </w:r>
    </w:p>
    <w:p w:rsidR="00BB187C" w:rsidRDefault="00BB187C">
      <w:pPr>
        <w:rPr>
          <w:rFonts w:ascii="黑体" w:eastAsia="黑体" w:hAnsiTheme="minorHAnsi" w:cs="黑体"/>
          <w:kern w:val="0"/>
          <w:sz w:val="32"/>
          <w:szCs w:val="32"/>
        </w:rPr>
      </w:pPr>
    </w:p>
    <w:tbl>
      <w:tblPr>
        <w:tblStyle w:val="aa"/>
        <w:tblpPr w:leftFromText="180" w:rightFromText="180" w:vertAnchor="text" w:horzAnchor="page" w:tblpXSpec="center" w:tblpY="10"/>
        <w:tblOverlap w:val="neve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6"/>
        <w:gridCol w:w="3420"/>
        <w:gridCol w:w="2399"/>
        <w:gridCol w:w="2615"/>
      </w:tblGrid>
      <w:tr w:rsidR="00BB187C">
        <w:trPr>
          <w:trHeight w:val="90"/>
          <w:jc w:val="center"/>
        </w:trPr>
        <w:tc>
          <w:tcPr>
            <w:tcW w:w="966" w:type="dxa"/>
            <w:vAlign w:val="center"/>
          </w:tcPr>
          <w:p w:rsidR="00BB187C" w:rsidRDefault="00104937">
            <w:pPr>
              <w:spacing w:after="0" w:line="560" w:lineRule="exact"/>
              <w:jc w:val="center"/>
              <w:rPr>
                <w:rFonts w:ascii="仿宋_GB2312" w:eastAsia="仿宋_GB2312" w:hAnsiTheme="minorHAnsi" w:cs="ArialUnicodeMS"/>
                <w:b/>
                <w:bCs/>
                <w:kern w:val="0"/>
                <w:sz w:val="28"/>
                <w:szCs w:val="28"/>
              </w:rPr>
            </w:pPr>
            <w:r>
              <w:rPr>
                <w:rFonts w:ascii="仿宋_GB2312" w:eastAsia="仿宋_GB2312" w:hAnsiTheme="minorHAnsi" w:cs="ArialUnicodeMS" w:hint="eastAsia"/>
                <w:b/>
                <w:bCs/>
                <w:kern w:val="0"/>
                <w:sz w:val="28"/>
                <w:szCs w:val="28"/>
              </w:rPr>
              <w:t>序号</w:t>
            </w:r>
          </w:p>
        </w:tc>
        <w:tc>
          <w:tcPr>
            <w:tcW w:w="3420" w:type="dxa"/>
            <w:vAlign w:val="center"/>
          </w:tcPr>
          <w:p w:rsidR="00BB187C" w:rsidRDefault="00104937">
            <w:pPr>
              <w:spacing w:after="0" w:line="560" w:lineRule="exact"/>
              <w:jc w:val="center"/>
              <w:rPr>
                <w:rFonts w:ascii="仿宋_GB2312" w:eastAsia="仿宋_GB2312" w:hAnsiTheme="minorHAnsi" w:cs="ArialUnicodeMS"/>
                <w:b/>
                <w:bCs/>
                <w:kern w:val="0"/>
                <w:sz w:val="28"/>
                <w:szCs w:val="28"/>
              </w:rPr>
            </w:pPr>
            <w:r>
              <w:rPr>
                <w:rFonts w:ascii="仿宋_GB2312" w:eastAsia="仿宋_GB2312" w:hAnsiTheme="minorHAnsi" w:cs="ArialUnicodeMS" w:hint="eastAsia"/>
                <w:b/>
                <w:bCs/>
                <w:kern w:val="0"/>
                <w:sz w:val="28"/>
                <w:szCs w:val="28"/>
              </w:rPr>
              <w:t>单位名称</w:t>
            </w:r>
          </w:p>
        </w:tc>
        <w:tc>
          <w:tcPr>
            <w:tcW w:w="2399" w:type="dxa"/>
            <w:vAlign w:val="center"/>
          </w:tcPr>
          <w:p w:rsidR="00BB187C" w:rsidRDefault="00104937">
            <w:pPr>
              <w:spacing w:after="0" w:line="560" w:lineRule="exact"/>
              <w:jc w:val="center"/>
              <w:rPr>
                <w:rFonts w:ascii="仿宋_GB2312" w:eastAsia="仿宋_GB2312" w:hAnsiTheme="minorHAnsi" w:cs="ArialUnicodeMS"/>
                <w:b/>
                <w:bCs/>
                <w:kern w:val="0"/>
                <w:sz w:val="28"/>
                <w:szCs w:val="28"/>
              </w:rPr>
            </w:pPr>
            <w:r>
              <w:rPr>
                <w:rFonts w:ascii="仿宋_GB2312" w:eastAsia="仿宋_GB2312" w:hAnsiTheme="minorHAnsi" w:cs="ArialUnicodeMS" w:hint="eastAsia"/>
                <w:b/>
                <w:bCs/>
                <w:kern w:val="0"/>
                <w:sz w:val="28"/>
                <w:szCs w:val="28"/>
              </w:rPr>
              <w:t>单位基本性质</w:t>
            </w:r>
          </w:p>
        </w:tc>
        <w:tc>
          <w:tcPr>
            <w:tcW w:w="2615" w:type="dxa"/>
            <w:vAlign w:val="center"/>
          </w:tcPr>
          <w:p w:rsidR="00BB187C" w:rsidRDefault="00104937">
            <w:pPr>
              <w:spacing w:after="0" w:line="560" w:lineRule="exact"/>
              <w:jc w:val="center"/>
              <w:rPr>
                <w:rFonts w:ascii="仿宋_GB2312" w:eastAsia="仿宋_GB2312" w:hAnsiTheme="minorHAnsi" w:cs="ArialUnicodeMS"/>
                <w:b/>
                <w:bCs/>
                <w:kern w:val="0"/>
                <w:sz w:val="28"/>
                <w:szCs w:val="28"/>
              </w:rPr>
            </w:pPr>
            <w:r>
              <w:rPr>
                <w:rFonts w:ascii="仿宋_GB2312" w:eastAsia="仿宋_GB2312" w:hAnsiTheme="minorHAnsi" w:cs="ArialUnicodeMS" w:hint="eastAsia"/>
                <w:b/>
                <w:bCs/>
                <w:kern w:val="0"/>
                <w:sz w:val="28"/>
                <w:szCs w:val="28"/>
              </w:rPr>
              <w:t>经费形式</w:t>
            </w:r>
          </w:p>
        </w:tc>
      </w:tr>
      <w:tr w:rsidR="00BB187C">
        <w:trPr>
          <w:trHeight w:val="90"/>
          <w:jc w:val="center"/>
        </w:trPr>
        <w:tc>
          <w:tcPr>
            <w:tcW w:w="966" w:type="dxa"/>
          </w:tcPr>
          <w:p w:rsidR="00BB187C" w:rsidRDefault="00104937">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1</w:t>
            </w:r>
          </w:p>
        </w:tc>
        <w:tc>
          <w:tcPr>
            <w:tcW w:w="3420" w:type="dxa"/>
          </w:tcPr>
          <w:p w:rsidR="00BB187C" w:rsidRDefault="00104937">
            <w:pPr>
              <w:spacing w:after="0" w:line="560" w:lineRule="exact"/>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文安县农业开发办公室</w:t>
            </w:r>
          </w:p>
        </w:tc>
        <w:tc>
          <w:tcPr>
            <w:tcW w:w="2399" w:type="dxa"/>
          </w:tcPr>
          <w:p w:rsidR="00BB187C" w:rsidRDefault="00104937">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参公事业单位</w:t>
            </w:r>
          </w:p>
        </w:tc>
        <w:tc>
          <w:tcPr>
            <w:tcW w:w="2615" w:type="dxa"/>
          </w:tcPr>
          <w:p w:rsidR="00BB187C" w:rsidRDefault="00104937">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4"/>
              </w:rPr>
              <w:t>财政性资金基本保证</w:t>
            </w:r>
          </w:p>
        </w:tc>
      </w:tr>
    </w:tbl>
    <w:p w:rsidR="00BB187C" w:rsidRDefault="00BB187C">
      <w:pPr>
        <w:widowControl/>
        <w:spacing w:line="1200" w:lineRule="exact"/>
        <w:jc w:val="center"/>
        <w:rPr>
          <w:rFonts w:asciiTheme="minorEastAsia" w:eastAsiaTheme="minorEastAsia" w:hAnsi="宋体"/>
          <w:color w:val="000000" w:themeColor="text1"/>
          <w:sz w:val="72"/>
          <w:szCs w:val="96"/>
        </w:rPr>
      </w:pPr>
    </w:p>
    <w:p w:rsidR="00BB187C" w:rsidRDefault="00BB187C">
      <w:pPr>
        <w:widowControl/>
        <w:spacing w:line="1200" w:lineRule="exact"/>
        <w:jc w:val="center"/>
        <w:rPr>
          <w:rFonts w:asciiTheme="minorEastAsia" w:eastAsiaTheme="minorEastAsia" w:hAnsi="宋体"/>
          <w:color w:val="000000" w:themeColor="text1"/>
          <w:sz w:val="72"/>
          <w:szCs w:val="96"/>
        </w:rPr>
      </w:pPr>
    </w:p>
    <w:p w:rsidR="00BB187C" w:rsidRDefault="00BB187C">
      <w:pPr>
        <w:widowControl/>
        <w:spacing w:line="1200" w:lineRule="exact"/>
        <w:jc w:val="center"/>
        <w:rPr>
          <w:rFonts w:asciiTheme="minorEastAsia" w:eastAsiaTheme="minorEastAsia" w:hAnsi="宋体"/>
          <w:color w:val="000000" w:themeColor="text1"/>
          <w:sz w:val="72"/>
          <w:szCs w:val="96"/>
        </w:rPr>
      </w:pPr>
    </w:p>
    <w:p w:rsidR="00BB187C" w:rsidRDefault="00104937">
      <w:pPr>
        <w:widowControl/>
        <w:spacing w:line="1200" w:lineRule="exact"/>
        <w:jc w:val="center"/>
        <w:rPr>
          <w:rFonts w:asciiTheme="minorEastAsia" w:eastAsiaTheme="minorEastAsia" w:hAnsi="宋体"/>
          <w:color w:val="000000" w:themeColor="text1"/>
          <w:sz w:val="72"/>
          <w:szCs w:val="96"/>
        </w:rPr>
      </w:pPr>
      <w:r>
        <w:rPr>
          <w:rFonts w:asciiTheme="minorEastAsia" w:eastAsiaTheme="minorEastAsia" w:hAnsi="宋体" w:hint="eastAsia"/>
          <w:color w:val="000000" w:themeColor="text1"/>
          <w:sz w:val="72"/>
          <w:szCs w:val="96"/>
        </w:rPr>
        <w:t>第二部分</w:t>
      </w:r>
    </w:p>
    <w:p w:rsidR="00BB187C" w:rsidRDefault="00104937">
      <w:pPr>
        <w:widowControl/>
        <w:spacing w:line="1200" w:lineRule="exact"/>
        <w:jc w:val="center"/>
        <w:rPr>
          <w:color w:val="000000" w:themeColor="text1"/>
          <w:sz w:val="72"/>
          <w:szCs w:val="96"/>
        </w:rPr>
      </w:pPr>
      <w:r>
        <w:rPr>
          <w:rFonts w:asciiTheme="minorEastAsia" w:eastAsiaTheme="minorEastAsia" w:hAnsi="宋体" w:hint="eastAsia"/>
          <w:color w:val="000000" w:themeColor="text1"/>
          <w:sz w:val="72"/>
          <w:szCs w:val="96"/>
        </w:rPr>
        <w:t>2018年度部门决算报表</w:t>
      </w:r>
    </w:p>
    <w:p w:rsidR="00BB187C" w:rsidRDefault="00BB187C">
      <w:pPr>
        <w:widowControl/>
        <w:spacing w:line="560" w:lineRule="exact"/>
        <w:jc w:val="center"/>
        <w:rPr>
          <w:rFonts w:ascii="黑体" w:eastAsia="黑体" w:hAnsiTheme="minorHAnsi" w:cs="MS-UIGothic,Bold"/>
          <w:bCs/>
          <w:kern w:val="0"/>
          <w:sz w:val="52"/>
          <w:szCs w:val="52"/>
        </w:rPr>
      </w:pPr>
    </w:p>
    <w:p w:rsidR="00BB187C" w:rsidRDefault="00BB187C">
      <w:pPr>
        <w:widowControl/>
        <w:spacing w:line="560" w:lineRule="exact"/>
        <w:jc w:val="center"/>
        <w:rPr>
          <w:rFonts w:ascii="黑体" w:eastAsia="黑体" w:hAnsiTheme="minorHAnsi" w:cs="MS-UIGothic,Bold"/>
          <w:bCs/>
          <w:kern w:val="0"/>
          <w:sz w:val="52"/>
          <w:szCs w:val="52"/>
        </w:rPr>
      </w:pPr>
    </w:p>
    <w:p w:rsidR="00BB187C" w:rsidRDefault="00BB187C">
      <w:pPr>
        <w:rPr>
          <w:rFonts w:ascii="宋体" w:hAnsi="宋体" w:cs="ArialUnicodeMS"/>
          <w:color w:val="000000"/>
          <w:kern w:val="0"/>
        </w:rPr>
      </w:pPr>
    </w:p>
    <w:p w:rsidR="00BB187C" w:rsidRDefault="00BB187C">
      <w:pPr>
        <w:rPr>
          <w:rFonts w:ascii="宋体" w:hAnsi="宋体" w:cs="ArialUnicodeMS"/>
          <w:color w:val="000000"/>
          <w:kern w:val="0"/>
        </w:rPr>
        <w:sectPr w:rsidR="00BB187C">
          <w:pgSz w:w="11906" w:h="16838"/>
          <w:pgMar w:top="2098" w:right="1474" w:bottom="1984" w:left="1588" w:header="851" w:footer="992" w:gutter="0"/>
          <w:cols w:space="0"/>
          <w:docGrid w:type="lines" w:linePitch="312"/>
        </w:sectPr>
      </w:pPr>
    </w:p>
    <w:p w:rsidR="00BB187C" w:rsidRDefault="00104937">
      <w:pPr>
        <w:spacing w:after="0" w:line="560" w:lineRule="exact"/>
        <w:ind w:firstLineChars="200" w:firstLine="640"/>
        <w:rPr>
          <w:rFonts w:ascii="仿宋_GB2312" w:eastAsia="仿宋_GB2312" w:hAnsiTheme="minorHAnsi" w:cs="ArialUnicodeMS"/>
          <w:kern w:val="0"/>
          <w:sz w:val="32"/>
          <w:szCs w:val="32"/>
        </w:rPr>
      </w:pPr>
      <w:r>
        <w:rPr>
          <w:rFonts w:ascii="仿宋_GB2312" w:eastAsia="仿宋_GB2312" w:hAnsiTheme="minorHAnsi" w:cs="ArialUnicodeMS" w:hint="eastAsia"/>
          <w:kern w:val="0"/>
          <w:sz w:val="32"/>
          <w:szCs w:val="32"/>
        </w:rPr>
        <w:lastRenderedPageBreak/>
        <w:t>根据2018年决算公开要求，现对2018年度部门决算报表予以公开，详见附件报表。</w:t>
      </w:r>
    </w:p>
    <w:p w:rsidR="00BB187C" w:rsidRDefault="00BB187C">
      <w:pPr>
        <w:tabs>
          <w:tab w:val="left" w:pos="1086"/>
        </w:tabs>
        <w:jc w:val="left"/>
      </w:pPr>
    </w:p>
    <w:p w:rsidR="00BB187C" w:rsidRDefault="00BB187C">
      <w:pPr>
        <w:tabs>
          <w:tab w:val="left" w:pos="1086"/>
        </w:tabs>
        <w:jc w:val="left"/>
      </w:pPr>
    </w:p>
    <w:p w:rsidR="00BB187C" w:rsidRDefault="00BB187C">
      <w:pPr>
        <w:tabs>
          <w:tab w:val="left" w:pos="1086"/>
        </w:tabs>
        <w:jc w:val="left"/>
      </w:pPr>
    </w:p>
    <w:p w:rsidR="00BB187C" w:rsidRDefault="00BB187C">
      <w:pPr>
        <w:tabs>
          <w:tab w:val="left" w:pos="1086"/>
        </w:tabs>
        <w:jc w:val="left"/>
      </w:pPr>
    </w:p>
    <w:p w:rsidR="00BB187C" w:rsidRDefault="00BB187C">
      <w:pPr>
        <w:tabs>
          <w:tab w:val="left" w:pos="1086"/>
        </w:tabs>
        <w:jc w:val="left"/>
      </w:pPr>
    </w:p>
    <w:p w:rsidR="00BB187C" w:rsidRDefault="00BB187C">
      <w:pPr>
        <w:tabs>
          <w:tab w:val="left" w:pos="1086"/>
        </w:tabs>
        <w:jc w:val="left"/>
      </w:pPr>
    </w:p>
    <w:p w:rsidR="00BB187C" w:rsidRDefault="00BB187C">
      <w:pPr>
        <w:tabs>
          <w:tab w:val="left" w:pos="1086"/>
        </w:tabs>
        <w:jc w:val="left"/>
      </w:pPr>
    </w:p>
    <w:p w:rsidR="00BB187C" w:rsidRDefault="00BB187C">
      <w:pPr>
        <w:tabs>
          <w:tab w:val="left" w:pos="1086"/>
        </w:tabs>
        <w:jc w:val="left"/>
      </w:pPr>
    </w:p>
    <w:p w:rsidR="00BB187C" w:rsidRDefault="00BB187C">
      <w:pPr>
        <w:tabs>
          <w:tab w:val="left" w:pos="1086"/>
        </w:tabs>
        <w:jc w:val="left"/>
      </w:pPr>
    </w:p>
    <w:p w:rsidR="00BB187C" w:rsidRDefault="00BB187C">
      <w:pPr>
        <w:tabs>
          <w:tab w:val="left" w:pos="1086"/>
        </w:tabs>
        <w:jc w:val="left"/>
      </w:pPr>
    </w:p>
    <w:p w:rsidR="00BB187C" w:rsidRDefault="00BB187C">
      <w:pPr>
        <w:tabs>
          <w:tab w:val="left" w:pos="1086"/>
        </w:tabs>
        <w:jc w:val="left"/>
      </w:pPr>
    </w:p>
    <w:p w:rsidR="00BB187C" w:rsidRDefault="00BB187C">
      <w:pPr>
        <w:tabs>
          <w:tab w:val="left" w:pos="1086"/>
        </w:tabs>
        <w:jc w:val="left"/>
      </w:pPr>
    </w:p>
    <w:p w:rsidR="00BB187C" w:rsidRDefault="00104937">
      <w:pPr>
        <w:tabs>
          <w:tab w:val="left" w:pos="1086"/>
        </w:tabs>
        <w:jc w:val="left"/>
        <w:rPr>
          <w:rFonts w:asciiTheme="minorEastAsia" w:eastAsiaTheme="minorEastAsia" w:hAnsi="宋体"/>
          <w:color w:val="000000" w:themeColor="text1"/>
          <w:sz w:val="96"/>
          <w:szCs w:val="96"/>
        </w:rPr>
      </w:pPr>
      <w:r>
        <w:rPr>
          <w:rFonts w:hint="eastAsia"/>
        </w:rPr>
        <w:tab/>
      </w:r>
    </w:p>
    <w:p w:rsidR="00BB187C" w:rsidRDefault="00BB187C">
      <w:pPr>
        <w:widowControl/>
        <w:spacing w:line="1200" w:lineRule="exact"/>
        <w:jc w:val="center"/>
        <w:rPr>
          <w:rFonts w:asciiTheme="minorEastAsia" w:eastAsiaTheme="minorEastAsia" w:hAnsi="宋体"/>
          <w:color w:val="000000" w:themeColor="text1"/>
          <w:sz w:val="96"/>
          <w:szCs w:val="96"/>
        </w:rPr>
      </w:pPr>
    </w:p>
    <w:p w:rsidR="00BB187C" w:rsidRDefault="00104937">
      <w:pPr>
        <w:widowControl/>
        <w:spacing w:line="1200" w:lineRule="exact"/>
        <w:jc w:val="center"/>
        <w:rPr>
          <w:rFonts w:asciiTheme="minorEastAsia" w:eastAsiaTheme="minorEastAsia" w:hAnsi="宋体"/>
          <w:color w:val="000000" w:themeColor="text1"/>
          <w:sz w:val="96"/>
          <w:szCs w:val="96"/>
        </w:rPr>
      </w:pPr>
      <w:r>
        <w:rPr>
          <w:rFonts w:asciiTheme="minorEastAsia" w:eastAsiaTheme="minorEastAsia" w:hAnsi="宋体" w:hint="eastAsia"/>
          <w:color w:val="000000" w:themeColor="text1"/>
          <w:sz w:val="96"/>
          <w:szCs w:val="96"/>
        </w:rPr>
        <w:t>第三部分</w:t>
      </w:r>
    </w:p>
    <w:p w:rsidR="00BB187C" w:rsidRDefault="00104937">
      <w:pPr>
        <w:widowControl/>
        <w:spacing w:line="1200" w:lineRule="exact"/>
        <w:jc w:val="center"/>
        <w:rPr>
          <w:color w:val="000000" w:themeColor="text1"/>
          <w:sz w:val="96"/>
          <w:szCs w:val="96"/>
        </w:rPr>
      </w:pPr>
      <w:r>
        <w:rPr>
          <w:rFonts w:asciiTheme="minorEastAsia" w:eastAsiaTheme="minorEastAsia" w:hAnsi="宋体" w:hint="eastAsia"/>
          <w:color w:val="000000" w:themeColor="text1"/>
          <w:sz w:val="96"/>
          <w:szCs w:val="96"/>
        </w:rPr>
        <w:t>部门决算情况说明</w:t>
      </w:r>
    </w:p>
    <w:p w:rsidR="00BB187C" w:rsidRDefault="00BB187C">
      <w:pPr>
        <w:rPr>
          <w:rFonts w:ascii="宋体" w:hAnsi="宋体" w:cs="ArialUnicodeMS"/>
          <w:color w:val="000000"/>
          <w:kern w:val="0"/>
        </w:rPr>
        <w:sectPr w:rsidR="00BB187C">
          <w:pgSz w:w="11906" w:h="16838"/>
          <w:pgMar w:top="2098" w:right="1474" w:bottom="1984" w:left="1588" w:header="851" w:footer="992" w:gutter="0"/>
          <w:cols w:space="0"/>
          <w:docGrid w:type="lines" w:linePitch="312"/>
        </w:sectPr>
      </w:pPr>
    </w:p>
    <w:p w:rsidR="00BB187C" w:rsidRDefault="00104937">
      <w:pPr>
        <w:pStyle w:val="2"/>
        <w:spacing w:before="0" w:after="0" w:line="580" w:lineRule="exact"/>
        <w:ind w:firstLineChars="200" w:firstLine="640"/>
        <w:rPr>
          <w:rFonts w:ascii="黑体" w:eastAsia="黑体"/>
          <w:b w:val="0"/>
          <w:bCs w:val="0"/>
        </w:rPr>
      </w:pPr>
      <w:r>
        <w:rPr>
          <w:rFonts w:ascii="黑体" w:eastAsia="黑体" w:hint="eastAsia"/>
          <w:b w:val="0"/>
          <w:bCs w:val="0"/>
        </w:rPr>
        <w:lastRenderedPageBreak/>
        <w:t>一、收入</w:t>
      </w:r>
      <w:r>
        <w:rPr>
          <w:rFonts w:ascii="黑体" w:eastAsia="黑体" w:hAnsiTheme="minorHAnsi" w:cs="黑体" w:hint="eastAsia"/>
          <w:b w:val="0"/>
          <w:bCs w:val="0"/>
          <w:kern w:val="0"/>
        </w:rPr>
        <w:t>支出</w:t>
      </w:r>
      <w:r>
        <w:rPr>
          <w:rFonts w:ascii="黑体" w:eastAsia="黑体" w:hint="eastAsia"/>
          <w:b w:val="0"/>
          <w:bCs w:val="0"/>
        </w:rPr>
        <w:t>决算总体情况说明</w:t>
      </w:r>
    </w:p>
    <w:p w:rsidR="00BB187C" w:rsidRDefault="00104937">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本部门2018年度年初结转和结余3975.01万元，本年</w:t>
      </w:r>
      <w:r>
        <w:rPr>
          <w:rFonts w:ascii="仿宋" w:eastAsia="仿宋" w:hAnsi="仿宋" w:cs="仿宋" w:hint="eastAsia"/>
          <w:color w:val="333333"/>
          <w:sz w:val="32"/>
          <w:szCs w:val="32"/>
          <w:shd w:val="clear" w:color="auto" w:fill="FFFFFF"/>
        </w:rPr>
        <w:t>收入2366.16万元</w:t>
      </w:r>
      <w:r>
        <w:rPr>
          <w:rFonts w:ascii="仿宋_GB2312" w:eastAsia="仿宋_GB2312" w:cs="DengXian-Regular" w:hint="eastAsia"/>
          <w:sz w:val="32"/>
          <w:szCs w:val="32"/>
        </w:rPr>
        <w:t>，本年支出5641.72万元，与2017年度决算相比，收入减少3241.12万元，减少57%，主要是部分建设项目减少；支出增加4123.84万元，增加27%，原因为上年度部分项目建设尚未完成，资金结转至2018年度拨付。</w:t>
      </w:r>
    </w:p>
    <w:p w:rsidR="00BB187C" w:rsidRDefault="00104937">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rsidR="00BB187C" w:rsidRDefault="00104937">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本部门2018年度本年收入合计2366.16万元，全部为财政拨款收入。如图所示：</w:t>
      </w:r>
    </w:p>
    <w:p w:rsidR="00BB187C" w:rsidRDefault="00104937">
      <w:pPr>
        <w:adjustRightInd w:val="0"/>
        <w:snapToGrid w:val="0"/>
        <w:spacing w:after="0" w:line="580" w:lineRule="exact"/>
        <w:ind w:firstLineChars="800" w:firstLine="2560"/>
        <w:rPr>
          <w:rFonts w:ascii="仿宋_GB2312" w:eastAsia="仿宋_GB2312" w:cs="DengXian-Regular"/>
          <w:sz w:val="32"/>
          <w:szCs w:val="32"/>
        </w:rPr>
      </w:pPr>
      <w:r>
        <w:rPr>
          <w:rFonts w:eastAsia="仿宋_GB2312"/>
          <w:sz w:val="32"/>
          <w:szCs w:val="32"/>
        </w:rPr>
        <w:t>图</w:t>
      </w:r>
      <w:r>
        <w:rPr>
          <w:rFonts w:eastAsia="仿宋_GB2312"/>
          <w:sz w:val="32"/>
          <w:szCs w:val="32"/>
        </w:rPr>
        <w:t>1</w:t>
      </w:r>
      <w:r>
        <w:rPr>
          <w:rFonts w:eastAsia="仿宋_GB2312"/>
          <w:sz w:val="32"/>
          <w:szCs w:val="32"/>
        </w:rPr>
        <w:t>：收入决算结构饼状图</w:t>
      </w:r>
    </w:p>
    <w:p w:rsidR="00BB187C" w:rsidRDefault="00104937">
      <w:pPr>
        <w:adjustRightInd w:val="0"/>
        <w:snapToGrid w:val="0"/>
        <w:spacing w:after="0" w:line="580" w:lineRule="exact"/>
        <w:ind w:firstLineChars="200" w:firstLine="640"/>
        <w:rPr>
          <w:rFonts w:ascii="仿宋_GB2312" w:eastAsia="仿宋_GB2312" w:cs="DengXian-Regular"/>
          <w:sz w:val="32"/>
          <w:szCs w:val="32"/>
        </w:rPr>
      </w:pPr>
      <w:bookmarkStart w:id="0" w:name="_GoBack"/>
      <w:r>
        <w:rPr>
          <w:rFonts w:ascii="仿宋_GB2312" w:eastAsia="仿宋_GB2312" w:cs="DengXian-Regular" w:hint="eastAsia"/>
          <w:noProof/>
          <w:sz w:val="32"/>
          <w:szCs w:val="32"/>
        </w:rPr>
        <w:drawing>
          <wp:anchor distT="0" distB="0" distL="114300" distR="114300" simplePos="0" relativeHeight="251658240" behindDoc="1" locked="0" layoutInCell="1" allowOverlap="1">
            <wp:simplePos x="0" y="0"/>
            <wp:positionH relativeFrom="column">
              <wp:posOffset>247650</wp:posOffset>
            </wp:positionH>
            <wp:positionV relativeFrom="paragraph">
              <wp:posOffset>36195</wp:posOffset>
            </wp:positionV>
            <wp:extent cx="5080000" cy="1971675"/>
            <wp:effectExtent l="4445" t="4445" r="20955" b="508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End w:id="0"/>
    </w:p>
    <w:p w:rsidR="00BB187C" w:rsidRDefault="00BB187C">
      <w:pPr>
        <w:adjustRightInd w:val="0"/>
        <w:snapToGrid w:val="0"/>
        <w:spacing w:after="0" w:line="580" w:lineRule="exact"/>
        <w:ind w:firstLineChars="200" w:firstLine="640"/>
        <w:rPr>
          <w:rFonts w:ascii="仿宋_GB2312" w:eastAsia="仿宋_GB2312" w:cs="DengXian-Regular"/>
          <w:sz w:val="32"/>
          <w:szCs w:val="32"/>
        </w:rPr>
      </w:pPr>
    </w:p>
    <w:p w:rsidR="00BB187C" w:rsidRDefault="00BB187C">
      <w:pPr>
        <w:adjustRightInd w:val="0"/>
        <w:snapToGrid w:val="0"/>
        <w:spacing w:after="0" w:line="580" w:lineRule="exact"/>
        <w:ind w:firstLineChars="200" w:firstLine="640"/>
        <w:rPr>
          <w:rFonts w:ascii="仿宋_GB2312" w:eastAsia="仿宋_GB2312" w:cs="DengXian-Regular"/>
          <w:sz w:val="32"/>
          <w:szCs w:val="32"/>
        </w:rPr>
      </w:pPr>
    </w:p>
    <w:p w:rsidR="00BB187C" w:rsidRDefault="00BB187C">
      <w:pPr>
        <w:adjustRightInd w:val="0"/>
        <w:snapToGrid w:val="0"/>
        <w:spacing w:line="584" w:lineRule="exact"/>
        <w:jc w:val="center"/>
        <w:rPr>
          <w:rFonts w:eastAsia="仿宋_GB2312"/>
          <w:sz w:val="32"/>
          <w:szCs w:val="32"/>
        </w:rPr>
      </w:pPr>
    </w:p>
    <w:p w:rsidR="00BB187C" w:rsidRDefault="00BB187C">
      <w:pPr>
        <w:adjustRightInd w:val="0"/>
        <w:snapToGrid w:val="0"/>
        <w:spacing w:line="584" w:lineRule="exact"/>
        <w:jc w:val="center"/>
        <w:rPr>
          <w:rFonts w:eastAsia="仿宋_GB2312"/>
          <w:sz w:val="32"/>
          <w:szCs w:val="32"/>
        </w:rPr>
      </w:pPr>
    </w:p>
    <w:p w:rsidR="00BB187C" w:rsidRDefault="00104937">
      <w:pPr>
        <w:pStyle w:val="2"/>
        <w:spacing w:before="0" w:after="0" w:line="580" w:lineRule="exact"/>
        <w:ind w:firstLineChars="200" w:firstLine="640"/>
        <w:rPr>
          <w:rFonts w:ascii="黑体" w:eastAsia="黑体"/>
          <w:b w:val="0"/>
          <w:bCs w:val="0"/>
        </w:rPr>
      </w:pPr>
      <w:r>
        <w:rPr>
          <w:rFonts w:ascii="黑体" w:eastAsia="黑体" w:hint="eastAsia"/>
          <w:b w:val="0"/>
          <w:bCs w:val="0"/>
        </w:rPr>
        <w:t>三、支出决算情况说明</w:t>
      </w:r>
    </w:p>
    <w:p w:rsidR="00BB187C" w:rsidRDefault="00104937">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本部门2018年度本年支出合计5641.72万元，其中：基本支出21.81万元，占0.4%；项目支出5619.91万元，占99.6%.</w:t>
      </w:r>
    </w:p>
    <w:p w:rsidR="00BB187C" w:rsidRDefault="00104937">
      <w:pPr>
        <w:adjustRightInd w:val="0"/>
        <w:snapToGrid w:val="0"/>
        <w:spacing w:after="0" w:line="580" w:lineRule="exact"/>
        <w:ind w:firstLineChars="700" w:firstLine="2240"/>
        <w:rPr>
          <w:rFonts w:ascii="黑体" w:eastAsia="黑体"/>
        </w:rPr>
      </w:pPr>
      <w:r>
        <w:rPr>
          <w:rFonts w:eastAsia="仿宋_GB2312"/>
          <w:sz w:val="32"/>
          <w:szCs w:val="32"/>
        </w:rPr>
        <w:t>图</w:t>
      </w:r>
      <w:r>
        <w:rPr>
          <w:rFonts w:eastAsia="仿宋_GB2312"/>
          <w:sz w:val="32"/>
          <w:szCs w:val="32"/>
        </w:rPr>
        <w:t>2</w:t>
      </w:r>
      <w:r>
        <w:rPr>
          <w:rFonts w:eastAsia="仿宋_GB2312"/>
          <w:sz w:val="32"/>
          <w:szCs w:val="32"/>
        </w:rPr>
        <w:t>：支出决算结构饼状图</w:t>
      </w:r>
    </w:p>
    <w:p w:rsidR="00BB187C" w:rsidRDefault="00BB187C">
      <w:pPr>
        <w:adjustRightInd w:val="0"/>
        <w:snapToGrid w:val="0"/>
        <w:spacing w:after="0" w:line="580" w:lineRule="exact"/>
        <w:ind w:firstLineChars="200" w:firstLine="640"/>
        <w:rPr>
          <w:rFonts w:ascii="仿宋_GB2312" w:eastAsia="仿宋_GB2312" w:cs="DengXian-Regular"/>
          <w:sz w:val="32"/>
          <w:szCs w:val="32"/>
        </w:rPr>
      </w:pPr>
    </w:p>
    <w:p w:rsidR="00BB187C" w:rsidRDefault="00BB187C">
      <w:pPr>
        <w:adjustRightInd w:val="0"/>
        <w:snapToGrid w:val="0"/>
        <w:spacing w:after="0" w:line="580" w:lineRule="exact"/>
        <w:rPr>
          <w:rFonts w:ascii="仿宋_GB2312" w:eastAsia="仿宋_GB2312" w:cs="DengXian-Regular"/>
          <w:sz w:val="32"/>
          <w:szCs w:val="32"/>
        </w:rPr>
      </w:pPr>
    </w:p>
    <w:p w:rsidR="00BB187C" w:rsidRDefault="00BB187C">
      <w:pPr>
        <w:adjustRightInd w:val="0"/>
        <w:snapToGrid w:val="0"/>
        <w:spacing w:after="0" w:line="580" w:lineRule="exact"/>
        <w:ind w:firstLineChars="200" w:firstLine="640"/>
        <w:rPr>
          <w:rFonts w:ascii="仿宋_GB2312" w:eastAsia="仿宋_GB2312" w:cs="DengXian-Regular"/>
          <w:sz w:val="32"/>
          <w:szCs w:val="32"/>
        </w:rPr>
      </w:pPr>
    </w:p>
    <w:p w:rsidR="00BB187C" w:rsidRDefault="00BB187C">
      <w:pPr>
        <w:adjustRightInd w:val="0"/>
        <w:snapToGrid w:val="0"/>
        <w:spacing w:after="0" w:line="580" w:lineRule="exact"/>
        <w:jc w:val="center"/>
        <w:rPr>
          <w:rFonts w:eastAsia="仿宋_GB2312"/>
          <w:sz w:val="32"/>
          <w:szCs w:val="32"/>
        </w:rPr>
      </w:pPr>
    </w:p>
    <w:p w:rsidR="00BB187C" w:rsidRDefault="00BB187C">
      <w:pPr>
        <w:adjustRightInd w:val="0"/>
        <w:snapToGrid w:val="0"/>
        <w:spacing w:after="0" w:line="580" w:lineRule="exact"/>
        <w:jc w:val="center"/>
        <w:rPr>
          <w:rFonts w:eastAsia="仿宋_GB2312"/>
          <w:sz w:val="32"/>
          <w:szCs w:val="32"/>
        </w:rPr>
      </w:pPr>
    </w:p>
    <w:p w:rsidR="00BB187C" w:rsidRDefault="00BB187C">
      <w:pPr>
        <w:adjustRightInd w:val="0"/>
        <w:snapToGrid w:val="0"/>
        <w:spacing w:after="0" w:line="580" w:lineRule="exact"/>
        <w:jc w:val="center"/>
        <w:rPr>
          <w:rFonts w:eastAsia="仿宋_GB2312"/>
          <w:sz w:val="32"/>
          <w:szCs w:val="32"/>
        </w:rPr>
      </w:pPr>
    </w:p>
    <w:p w:rsidR="00BB187C" w:rsidRDefault="00104937">
      <w:pPr>
        <w:adjustRightInd w:val="0"/>
        <w:snapToGrid w:val="0"/>
        <w:spacing w:after="0" w:line="580" w:lineRule="exact"/>
        <w:jc w:val="center"/>
        <w:rPr>
          <w:rFonts w:eastAsia="仿宋_GB2312"/>
          <w:sz w:val="32"/>
          <w:szCs w:val="32"/>
        </w:rPr>
      </w:pPr>
      <w:r>
        <w:rPr>
          <w:rFonts w:ascii="仿宋_GB2312" w:eastAsia="仿宋_GB2312" w:cs="DengXian-Regular" w:hint="eastAsia"/>
          <w:noProof/>
          <w:sz w:val="32"/>
          <w:szCs w:val="32"/>
        </w:rPr>
        <w:drawing>
          <wp:anchor distT="0" distB="0" distL="114300" distR="114300" simplePos="0" relativeHeight="251660288" behindDoc="1" locked="0" layoutInCell="1" allowOverlap="1">
            <wp:simplePos x="0" y="0"/>
            <wp:positionH relativeFrom="column">
              <wp:posOffset>74295</wp:posOffset>
            </wp:positionH>
            <wp:positionV relativeFrom="paragraph">
              <wp:posOffset>-1230630</wp:posOffset>
            </wp:positionV>
            <wp:extent cx="5440680" cy="1506855"/>
            <wp:effectExtent l="4445" t="4445" r="22225" b="1270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BB187C" w:rsidRDefault="00104937">
      <w:pPr>
        <w:pStyle w:val="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hAnsiTheme="minorHAnsi" w:cs="黑体" w:hint="eastAsia"/>
          <w:b w:val="0"/>
          <w:bCs w:val="0"/>
          <w:kern w:val="0"/>
        </w:rPr>
        <w:t>财政</w:t>
      </w:r>
      <w:r>
        <w:rPr>
          <w:rFonts w:ascii="黑体" w:eastAsia="黑体" w:hint="eastAsia"/>
          <w:b w:val="0"/>
          <w:bCs w:val="0"/>
        </w:rPr>
        <w:t>拨款收入支出决算情况说明</w:t>
      </w:r>
    </w:p>
    <w:p w:rsidR="00BB187C" w:rsidRDefault="00104937" w:rsidP="001D691D">
      <w:pPr>
        <w:spacing w:after="0" w:line="580" w:lineRule="exact"/>
        <w:ind w:firstLineChars="200" w:firstLine="641"/>
        <w:rPr>
          <w:rFonts w:ascii="楷体_GB2312" w:eastAsia="楷体_GB2312" w:cs="DengXian-Bold"/>
          <w:b/>
          <w:bCs/>
          <w:sz w:val="32"/>
          <w:szCs w:val="32"/>
        </w:rPr>
      </w:pPr>
      <w:r>
        <w:rPr>
          <w:rFonts w:ascii="楷体_GB2312" w:eastAsia="楷体_GB2312" w:cs="DengXian-Bold" w:hint="eastAsia"/>
          <w:b/>
          <w:bCs/>
          <w:sz w:val="32"/>
          <w:szCs w:val="32"/>
        </w:rPr>
        <w:t>（一）财政拨款收支与2017 年度决算对比情况</w:t>
      </w:r>
    </w:p>
    <w:p w:rsidR="00BB187C" w:rsidRDefault="00104937">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形成的财政拨款收支均为一般公共预算财政拨款，其中一般公共预算财政拨款本年收入2366.16万元,比2017年减少3241.12万元，减少57%，主要是部分建设项目减少。本年支出增加4123.84万元，增加27%，原因为上年度部分项目建设尚未完成，资金结转至2018年度拨付。</w:t>
      </w:r>
    </w:p>
    <w:p w:rsidR="00BB187C" w:rsidRDefault="00104937">
      <w:pPr>
        <w:adjustRightInd w:val="0"/>
        <w:snapToGrid w:val="0"/>
        <w:spacing w:after="0" w:line="580" w:lineRule="exact"/>
        <w:jc w:val="center"/>
        <w:rPr>
          <w:rFonts w:eastAsia="仿宋_GB2312"/>
          <w:sz w:val="32"/>
          <w:szCs w:val="32"/>
        </w:rPr>
      </w:pPr>
      <w:r>
        <w:rPr>
          <w:rFonts w:eastAsia="仿宋_GB2312" w:hint="eastAsia"/>
          <w:sz w:val="32"/>
          <w:szCs w:val="32"/>
        </w:rPr>
        <w:t>图</w:t>
      </w:r>
      <w:r>
        <w:rPr>
          <w:rFonts w:eastAsia="仿宋_GB2312" w:hint="eastAsia"/>
          <w:sz w:val="32"/>
          <w:szCs w:val="32"/>
        </w:rPr>
        <w:t>3</w:t>
      </w:r>
      <w:r>
        <w:rPr>
          <w:rFonts w:eastAsia="仿宋_GB2312" w:hint="eastAsia"/>
          <w:sz w:val="32"/>
          <w:szCs w:val="32"/>
        </w:rPr>
        <w:t>：财政拨款收支情况</w:t>
      </w:r>
    </w:p>
    <w:p w:rsidR="00BB187C" w:rsidRDefault="00BB187C">
      <w:pPr>
        <w:adjustRightInd w:val="0"/>
        <w:snapToGrid w:val="0"/>
        <w:spacing w:after="0" w:line="580" w:lineRule="exact"/>
        <w:ind w:firstLineChars="200" w:firstLine="640"/>
        <w:rPr>
          <w:rFonts w:ascii="仿宋_GB2312" w:eastAsia="仿宋_GB2312" w:cs="DengXian-Regular"/>
          <w:sz w:val="32"/>
          <w:szCs w:val="32"/>
        </w:rPr>
      </w:pPr>
    </w:p>
    <w:p w:rsidR="00BB187C" w:rsidRDefault="00104937">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noProof/>
          <w:sz w:val="32"/>
          <w:szCs w:val="32"/>
        </w:rPr>
        <w:drawing>
          <wp:anchor distT="0" distB="0" distL="114300" distR="114300" simplePos="0" relativeHeight="251663360" behindDoc="1" locked="0" layoutInCell="1" allowOverlap="1">
            <wp:simplePos x="0" y="0"/>
            <wp:positionH relativeFrom="column">
              <wp:posOffset>342900</wp:posOffset>
            </wp:positionH>
            <wp:positionV relativeFrom="paragraph">
              <wp:posOffset>67310</wp:posOffset>
            </wp:positionV>
            <wp:extent cx="5080000" cy="2028825"/>
            <wp:effectExtent l="4445" t="4445" r="20955" b="508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BB187C" w:rsidRDefault="00BB187C">
      <w:pPr>
        <w:adjustRightInd w:val="0"/>
        <w:snapToGrid w:val="0"/>
        <w:spacing w:after="0" w:line="580" w:lineRule="exact"/>
        <w:ind w:firstLineChars="200" w:firstLine="640"/>
        <w:rPr>
          <w:rFonts w:ascii="仿宋_GB2312" w:eastAsia="仿宋_GB2312" w:cs="DengXian-Regular"/>
          <w:sz w:val="32"/>
          <w:szCs w:val="32"/>
        </w:rPr>
      </w:pPr>
    </w:p>
    <w:p w:rsidR="00BB187C" w:rsidRDefault="00BB187C">
      <w:pPr>
        <w:adjustRightInd w:val="0"/>
        <w:snapToGrid w:val="0"/>
        <w:spacing w:after="0" w:line="580" w:lineRule="exact"/>
        <w:ind w:firstLineChars="200" w:firstLine="640"/>
        <w:rPr>
          <w:rFonts w:ascii="仿宋_GB2312" w:eastAsia="仿宋_GB2312" w:cs="DengXian-Regular"/>
          <w:sz w:val="32"/>
          <w:szCs w:val="32"/>
        </w:rPr>
      </w:pPr>
    </w:p>
    <w:p w:rsidR="00BB187C" w:rsidRDefault="00BB187C">
      <w:pPr>
        <w:adjustRightInd w:val="0"/>
        <w:snapToGrid w:val="0"/>
        <w:spacing w:after="0" w:line="580" w:lineRule="exact"/>
        <w:ind w:firstLineChars="200" w:firstLine="640"/>
        <w:rPr>
          <w:rFonts w:ascii="仿宋_GB2312" w:eastAsia="仿宋_GB2312" w:cs="DengXian-Regular"/>
          <w:sz w:val="32"/>
          <w:szCs w:val="32"/>
        </w:rPr>
      </w:pPr>
    </w:p>
    <w:p w:rsidR="00BB187C" w:rsidRDefault="00BB187C">
      <w:pPr>
        <w:adjustRightInd w:val="0"/>
        <w:snapToGrid w:val="0"/>
        <w:spacing w:after="0" w:line="580" w:lineRule="exact"/>
        <w:ind w:firstLineChars="200" w:firstLine="640"/>
        <w:rPr>
          <w:rFonts w:ascii="仿宋_GB2312" w:eastAsia="仿宋_GB2312" w:cs="DengXian-Regular"/>
          <w:sz w:val="32"/>
          <w:szCs w:val="32"/>
        </w:rPr>
      </w:pPr>
    </w:p>
    <w:p w:rsidR="00BB187C" w:rsidRDefault="00BB187C">
      <w:pPr>
        <w:adjustRightInd w:val="0"/>
        <w:snapToGrid w:val="0"/>
        <w:spacing w:after="0" w:line="580" w:lineRule="exact"/>
        <w:jc w:val="center"/>
        <w:rPr>
          <w:rFonts w:eastAsia="仿宋_GB2312"/>
          <w:sz w:val="32"/>
          <w:szCs w:val="32"/>
        </w:rPr>
      </w:pPr>
    </w:p>
    <w:p w:rsidR="00BB187C" w:rsidRDefault="00BB187C" w:rsidP="005668D0">
      <w:pPr>
        <w:adjustRightInd w:val="0"/>
        <w:snapToGrid w:val="0"/>
        <w:spacing w:after="0" w:line="580" w:lineRule="exact"/>
        <w:rPr>
          <w:rFonts w:ascii="仿宋_GB2312" w:eastAsia="仿宋_GB2312" w:cs="DengXian-Regular"/>
          <w:sz w:val="32"/>
          <w:szCs w:val="32"/>
        </w:rPr>
      </w:pPr>
    </w:p>
    <w:p w:rsidR="00BB187C" w:rsidRDefault="00104937" w:rsidP="001D691D">
      <w:pPr>
        <w:spacing w:after="0" w:line="580" w:lineRule="exact"/>
        <w:ind w:firstLineChars="200" w:firstLine="641"/>
        <w:rPr>
          <w:rFonts w:ascii="仿宋_GB2312" w:eastAsia="仿宋_GB2312" w:cs="DengXian-Bold"/>
          <w:b/>
          <w:bCs/>
          <w:sz w:val="32"/>
          <w:szCs w:val="32"/>
        </w:rPr>
      </w:pPr>
      <w:r>
        <w:rPr>
          <w:rFonts w:ascii="楷体_GB2312" w:eastAsia="楷体_GB2312" w:cs="DengXian-Bold" w:hint="eastAsia"/>
          <w:b/>
          <w:bCs/>
          <w:sz w:val="32"/>
          <w:szCs w:val="32"/>
        </w:rPr>
        <w:lastRenderedPageBreak/>
        <w:t>（二）财政拨款收支与年初预算数对比情况</w:t>
      </w:r>
    </w:p>
    <w:p w:rsidR="00BB187C" w:rsidRDefault="00104937">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一般公共预算财政拨款收入2366.16万元，完成年初预算的336.35%,比年初预算增加1662.7万元，决算数大于预算数主要是年中追加以及项目资金增加；本年支出5641.72万元，完成年初预算的801.9%,比年初预算增加4938.26万元，决算数大于预算数主要是上年度项目资金结转到本年度，根据工程完成进度在本年度进行资金拨付。</w:t>
      </w:r>
    </w:p>
    <w:p w:rsidR="00BB187C" w:rsidRDefault="00104937">
      <w:pPr>
        <w:adjustRightInd w:val="0"/>
        <w:snapToGrid w:val="0"/>
        <w:spacing w:after="0" w:line="580" w:lineRule="exact"/>
        <w:ind w:firstLineChars="600" w:firstLine="1920"/>
        <w:rPr>
          <w:rFonts w:eastAsia="仿宋_GB2312"/>
          <w:sz w:val="32"/>
          <w:szCs w:val="32"/>
        </w:rPr>
      </w:pPr>
      <w:r>
        <w:rPr>
          <w:rFonts w:eastAsia="仿宋_GB2312" w:hint="eastAsia"/>
          <w:sz w:val="32"/>
          <w:szCs w:val="32"/>
        </w:rPr>
        <w:t>图</w:t>
      </w:r>
      <w:r>
        <w:rPr>
          <w:rFonts w:eastAsia="仿宋_GB2312" w:hint="eastAsia"/>
          <w:sz w:val="32"/>
          <w:szCs w:val="32"/>
        </w:rPr>
        <w:t>4</w:t>
      </w:r>
      <w:r>
        <w:rPr>
          <w:rFonts w:eastAsia="仿宋_GB2312" w:hint="eastAsia"/>
          <w:sz w:val="32"/>
          <w:szCs w:val="32"/>
        </w:rPr>
        <w:t>：财政拨款收支预决算对比情况</w:t>
      </w:r>
    </w:p>
    <w:p w:rsidR="00BB187C" w:rsidRDefault="00104937">
      <w:pPr>
        <w:adjustRightInd w:val="0"/>
        <w:snapToGrid w:val="0"/>
        <w:spacing w:after="0" w:line="580" w:lineRule="exact"/>
        <w:ind w:firstLineChars="600" w:firstLine="1920"/>
        <w:rPr>
          <w:rFonts w:eastAsia="仿宋_GB2312"/>
          <w:sz w:val="32"/>
          <w:szCs w:val="32"/>
        </w:rPr>
      </w:pPr>
      <w:r>
        <w:rPr>
          <w:rFonts w:ascii="仿宋_GB2312" w:eastAsia="仿宋_GB2312" w:cs="DengXian-Regular" w:hint="eastAsia"/>
          <w:noProof/>
          <w:sz w:val="32"/>
          <w:szCs w:val="32"/>
        </w:rPr>
        <w:drawing>
          <wp:anchor distT="0" distB="0" distL="114300" distR="114300" simplePos="0" relativeHeight="251667456" behindDoc="1" locked="0" layoutInCell="1" allowOverlap="1">
            <wp:simplePos x="0" y="0"/>
            <wp:positionH relativeFrom="column">
              <wp:posOffset>-116205</wp:posOffset>
            </wp:positionH>
            <wp:positionV relativeFrom="paragraph">
              <wp:posOffset>262255</wp:posOffset>
            </wp:positionV>
            <wp:extent cx="5327015" cy="1791335"/>
            <wp:effectExtent l="4445" t="4445" r="21590" b="1397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BB187C" w:rsidRDefault="00BB187C">
      <w:pPr>
        <w:adjustRightInd w:val="0"/>
        <w:snapToGrid w:val="0"/>
        <w:spacing w:after="0" w:line="580" w:lineRule="exact"/>
        <w:ind w:firstLineChars="600" w:firstLine="1920"/>
        <w:rPr>
          <w:rFonts w:eastAsia="仿宋_GB2312"/>
          <w:sz w:val="32"/>
          <w:szCs w:val="32"/>
        </w:rPr>
      </w:pPr>
    </w:p>
    <w:p w:rsidR="00BB187C" w:rsidRDefault="00BB187C">
      <w:pPr>
        <w:adjustRightInd w:val="0"/>
        <w:snapToGrid w:val="0"/>
        <w:spacing w:after="0" w:line="580" w:lineRule="exact"/>
        <w:ind w:firstLineChars="600" w:firstLine="1920"/>
        <w:rPr>
          <w:rFonts w:eastAsia="仿宋_GB2312"/>
          <w:sz w:val="32"/>
          <w:szCs w:val="32"/>
        </w:rPr>
      </w:pPr>
    </w:p>
    <w:p w:rsidR="00BB187C" w:rsidRDefault="00BB187C">
      <w:pPr>
        <w:adjustRightInd w:val="0"/>
        <w:snapToGrid w:val="0"/>
        <w:spacing w:after="0" w:line="580" w:lineRule="exact"/>
        <w:ind w:firstLineChars="600" w:firstLine="1920"/>
        <w:rPr>
          <w:rFonts w:eastAsia="仿宋_GB2312"/>
          <w:sz w:val="32"/>
          <w:szCs w:val="32"/>
        </w:rPr>
      </w:pPr>
    </w:p>
    <w:p w:rsidR="00BB187C" w:rsidRDefault="00BB187C">
      <w:pPr>
        <w:adjustRightInd w:val="0"/>
        <w:snapToGrid w:val="0"/>
        <w:spacing w:after="0" w:line="580" w:lineRule="exact"/>
        <w:ind w:firstLineChars="200" w:firstLine="640"/>
        <w:rPr>
          <w:rFonts w:ascii="仿宋_GB2312" w:eastAsia="仿宋_GB2312" w:cs="DengXian-Regular"/>
          <w:sz w:val="32"/>
          <w:szCs w:val="32"/>
          <w:highlight w:val="yellow"/>
        </w:rPr>
      </w:pPr>
    </w:p>
    <w:p w:rsidR="00BB187C" w:rsidRDefault="00BB187C">
      <w:pPr>
        <w:adjustRightInd w:val="0"/>
        <w:snapToGrid w:val="0"/>
        <w:spacing w:after="0" w:line="580" w:lineRule="exact"/>
        <w:rPr>
          <w:rFonts w:ascii="仿宋_GB2312" w:eastAsia="仿宋_GB2312" w:cs="DengXian-Regular"/>
          <w:sz w:val="32"/>
          <w:szCs w:val="32"/>
          <w:highlight w:val="yellow"/>
        </w:rPr>
      </w:pPr>
    </w:p>
    <w:p w:rsidR="00BB187C" w:rsidRPr="00355924" w:rsidRDefault="00104937">
      <w:pPr>
        <w:numPr>
          <w:ilvl w:val="0"/>
          <w:numId w:val="1"/>
        </w:numPr>
        <w:adjustRightInd w:val="0"/>
        <w:snapToGrid w:val="0"/>
        <w:spacing w:after="0" w:line="580" w:lineRule="exact"/>
        <w:ind w:leftChars="200" w:left="420"/>
        <w:rPr>
          <w:rFonts w:ascii="楷体_GB2312" w:eastAsia="楷体_GB2312" w:cs="DengXian-Bold"/>
          <w:b/>
          <w:bCs/>
          <w:sz w:val="32"/>
          <w:szCs w:val="32"/>
        </w:rPr>
      </w:pPr>
      <w:r w:rsidRPr="00355924">
        <w:rPr>
          <w:rFonts w:ascii="楷体_GB2312" w:eastAsia="楷体_GB2312" w:cs="DengXian-Bold" w:hint="eastAsia"/>
          <w:b/>
          <w:bCs/>
          <w:sz w:val="32"/>
          <w:szCs w:val="32"/>
        </w:rPr>
        <w:t>财政拨款支出决算结构情况。</w:t>
      </w:r>
    </w:p>
    <w:p w:rsidR="00BB187C" w:rsidRDefault="00104937">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2018 年度财政拨款支出5641.72万元，主要用于以下方面：社会保障和就业（类）支出21.81万元，占0.4%；农林水（类）支出5619.91万元，占99.6%。</w:t>
      </w:r>
    </w:p>
    <w:p w:rsidR="00BB187C" w:rsidRDefault="00104937">
      <w:pPr>
        <w:adjustRightInd w:val="0"/>
        <w:snapToGrid w:val="0"/>
        <w:spacing w:after="0" w:line="580" w:lineRule="exact"/>
        <w:jc w:val="center"/>
        <w:rPr>
          <w:rFonts w:eastAsia="仿宋_GB2312"/>
          <w:sz w:val="32"/>
          <w:szCs w:val="32"/>
        </w:rPr>
      </w:pPr>
      <w:r>
        <w:rPr>
          <w:rFonts w:eastAsia="仿宋_GB2312" w:hint="eastAsia"/>
          <w:sz w:val="32"/>
          <w:szCs w:val="32"/>
        </w:rPr>
        <w:t>图</w:t>
      </w:r>
      <w:r>
        <w:rPr>
          <w:rFonts w:eastAsia="仿宋_GB2312" w:hint="eastAsia"/>
          <w:sz w:val="32"/>
          <w:szCs w:val="32"/>
        </w:rPr>
        <w:t>5</w:t>
      </w:r>
      <w:r>
        <w:rPr>
          <w:rFonts w:eastAsia="仿宋_GB2312" w:hint="eastAsia"/>
          <w:sz w:val="32"/>
          <w:szCs w:val="32"/>
        </w:rPr>
        <w:t>：财政拨款支出决算结构（按功能分类）</w:t>
      </w:r>
    </w:p>
    <w:p w:rsidR="00BB187C" w:rsidRDefault="00104937">
      <w:pPr>
        <w:adjustRightInd w:val="0"/>
        <w:snapToGrid w:val="0"/>
        <w:spacing w:after="0" w:line="580" w:lineRule="exact"/>
        <w:jc w:val="center"/>
        <w:rPr>
          <w:rFonts w:eastAsia="仿宋_GB2312"/>
          <w:sz w:val="32"/>
          <w:szCs w:val="32"/>
        </w:rPr>
      </w:pPr>
      <w:r>
        <w:rPr>
          <w:rFonts w:ascii="仿宋_GB2312" w:eastAsia="仿宋_GB2312" w:cs="DengXian-Regular" w:hint="eastAsia"/>
          <w:noProof/>
          <w:sz w:val="32"/>
          <w:szCs w:val="32"/>
        </w:rPr>
        <w:drawing>
          <wp:anchor distT="0" distB="0" distL="114300" distR="114300" simplePos="0" relativeHeight="251672576" behindDoc="1" locked="0" layoutInCell="1" allowOverlap="1">
            <wp:simplePos x="0" y="0"/>
            <wp:positionH relativeFrom="column">
              <wp:posOffset>-90805</wp:posOffset>
            </wp:positionH>
            <wp:positionV relativeFrom="paragraph">
              <wp:posOffset>31115</wp:posOffset>
            </wp:positionV>
            <wp:extent cx="5517515" cy="1952625"/>
            <wp:effectExtent l="4445" t="4445" r="21590" b="508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BB187C" w:rsidRDefault="00BB187C" w:rsidP="00E63CDC">
      <w:pPr>
        <w:adjustRightInd w:val="0"/>
        <w:snapToGrid w:val="0"/>
        <w:spacing w:after="0" w:line="580" w:lineRule="exact"/>
        <w:rPr>
          <w:rFonts w:ascii="楷体_GB2312" w:eastAsia="楷体_GB2312" w:cs="DengXian-Bold"/>
          <w:b/>
          <w:bCs/>
          <w:sz w:val="32"/>
          <w:szCs w:val="32"/>
        </w:rPr>
      </w:pPr>
    </w:p>
    <w:p w:rsidR="00BB187C" w:rsidRDefault="00104937">
      <w:p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lastRenderedPageBreak/>
        <w:t>（四）一般公共预算财政拨款基本支出决算情况说明</w:t>
      </w:r>
    </w:p>
    <w:p w:rsidR="00BB187C" w:rsidRDefault="00104937">
      <w:pPr>
        <w:adjustRightInd w:val="0"/>
        <w:snapToGrid w:val="0"/>
        <w:spacing w:after="0" w:line="580" w:lineRule="exact"/>
        <w:ind w:firstLineChars="200" w:firstLine="640"/>
        <w:rPr>
          <w:rFonts w:ascii="黑体" w:eastAsia="黑体"/>
        </w:rPr>
      </w:pPr>
      <w:r>
        <w:rPr>
          <w:rFonts w:ascii="仿宋_GB2312" w:eastAsia="仿宋_GB2312" w:cs="DengXian-Regular" w:hint="eastAsia"/>
          <w:sz w:val="32"/>
          <w:szCs w:val="32"/>
        </w:rPr>
        <w:t>2018 年度一般公共预算财政拨款基本支出227.35万元，其中：人员经费201.21万元，主要包括基本工资、津贴补贴、奖金、绩效工资、机关事业单位基本养老保险缴费、职业年金缴费、职工基本医疗保险缴费、公务员医疗补助缴费、其他社会保障缴费、其他工资福利支出、奖励金、其他对个人和家庭的补助支出等；公用经费26.14万元，主要包括办公费、邮电费、差旅费、劳务费、工会经费、福利费、公务用车运行维护费、其他交通费用、其他商品和服务支出等。</w:t>
      </w:r>
    </w:p>
    <w:p w:rsidR="00BB187C" w:rsidRDefault="00104937">
      <w:pPr>
        <w:pStyle w:val="2"/>
        <w:spacing w:before="0" w:after="0" w:line="580" w:lineRule="exact"/>
        <w:ind w:firstLineChars="200" w:firstLine="640"/>
        <w:rPr>
          <w:rFonts w:ascii="黑体" w:eastAsia="黑体"/>
          <w:b w:val="0"/>
          <w:bCs w:val="0"/>
        </w:rPr>
      </w:pPr>
      <w:r>
        <w:rPr>
          <w:rFonts w:ascii="黑体" w:eastAsia="黑体" w:hint="eastAsia"/>
          <w:b w:val="0"/>
          <w:bCs w:val="0"/>
        </w:rPr>
        <w:t>五、一般公共预算财政拨款“三公” 经费支出决算情况说明</w:t>
      </w:r>
    </w:p>
    <w:p w:rsidR="00BB187C" w:rsidRDefault="00104937">
      <w:pPr>
        <w:adjustRightInd w:val="0"/>
        <w:snapToGrid w:val="0"/>
        <w:spacing w:line="584" w:lineRule="exact"/>
        <w:ind w:firstLineChars="200" w:firstLine="640"/>
        <w:rPr>
          <w:rFonts w:eastAsia="仿宋_GB2312"/>
          <w:sz w:val="32"/>
          <w:szCs w:val="32"/>
        </w:rPr>
      </w:pPr>
      <w:r>
        <w:rPr>
          <w:rFonts w:eastAsia="仿宋_GB2312"/>
          <w:sz w:val="32"/>
          <w:szCs w:val="32"/>
        </w:rPr>
        <w:t>本部门</w:t>
      </w:r>
      <w:r>
        <w:rPr>
          <w:rFonts w:eastAsia="仿宋_GB2312"/>
          <w:sz w:val="32"/>
          <w:szCs w:val="32"/>
        </w:rPr>
        <w:t>201</w:t>
      </w:r>
      <w:r>
        <w:rPr>
          <w:rFonts w:eastAsia="仿宋_GB2312" w:hint="eastAsia"/>
          <w:sz w:val="32"/>
          <w:szCs w:val="32"/>
        </w:rPr>
        <w:t>8</w:t>
      </w:r>
      <w:r>
        <w:rPr>
          <w:rFonts w:eastAsia="仿宋_GB2312"/>
          <w:sz w:val="32"/>
          <w:szCs w:val="32"/>
        </w:rPr>
        <w:t>年度一般公共预算财政拨款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经费支出共计</w:t>
      </w:r>
      <w:r>
        <w:rPr>
          <w:rFonts w:eastAsia="仿宋_GB2312" w:hint="eastAsia"/>
          <w:sz w:val="32"/>
          <w:szCs w:val="32"/>
        </w:rPr>
        <w:t>2</w:t>
      </w:r>
      <w:r>
        <w:rPr>
          <w:rFonts w:eastAsia="仿宋_GB2312"/>
          <w:sz w:val="32"/>
          <w:szCs w:val="32"/>
        </w:rPr>
        <w:t>万元，</w:t>
      </w:r>
      <w:r w:rsidR="001D691D" w:rsidRPr="001D691D">
        <w:rPr>
          <w:rFonts w:eastAsia="仿宋_GB2312" w:hint="eastAsia"/>
          <w:sz w:val="32"/>
          <w:szCs w:val="32"/>
        </w:rPr>
        <w:t>较</w:t>
      </w:r>
      <w:r w:rsidR="001D691D" w:rsidRPr="001D691D">
        <w:rPr>
          <w:rFonts w:eastAsia="仿宋_GB2312"/>
          <w:sz w:val="32"/>
          <w:szCs w:val="32"/>
        </w:rPr>
        <w:t>年初预算</w:t>
      </w:r>
      <w:r w:rsidR="001D691D">
        <w:rPr>
          <w:rFonts w:eastAsia="仿宋_GB2312" w:hint="eastAsia"/>
          <w:sz w:val="32"/>
          <w:szCs w:val="32"/>
        </w:rPr>
        <w:t>减少</w:t>
      </w:r>
      <w:r w:rsidR="001D691D">
        <w:rPr>
          <w:rFonts w:eastAsia="仿宋_GB2312" w:hint="eastAsia"/>
          <w:sz w:val="32"/>
          <w:szCs w:val="32"/>
        </w:rPr>
        <w:t>0.4</w:t>
      </w:r>
      <w:r w:rsidR="001D691D">
        <w:rPr>
          <w:rFonts w:eastAsia="仿宋_GB2312" w:hint="eastAsia"/>
          <w:sz w:val="32"/>
          <w:szCs w:val="32"/>
        </w:rPr>
        <w:t>万元，</w:t>
      </w:r>
      <w:r w:rsidR="001D691D">
        <w:rPr>
          <w:rFonts w:eastAsia="仿宋_GB2312"/>
          <w:sz w:val="32"/>
          <w:szCs w:val="32"/>
        </w:rPr>
        <w:t>降低</w:t>
      </w:r>
      <w:r w:rsidR="001D691D">
        <w:rPr>
          <w:rFonts w:eastAsia="仿宋_GB2312" w:hint="eastAsia"/>
          <w:sz w:val="32"/>
          <w:szCs w:val="32"/>
        </w:rPr>
        <w:t>16.6</w:t>
      </w:r>
      <w:r w:rsidR="001D691D" w:rsidRPr="00C92D15">
        <w:rPr>
          <w:rFonts w:eastAsia="仿宋_GB2312"/>
          <w:sz w:val="32"/>
          <w:szCs w:val="32"/>
        </w:rPr>
        <w:t>%</w:t>
      </w:r>
      <w:r w:rsidR="001D691D" w:rsidRPr="00C92D15">
        <w:rPr>
          <w:rFonts w:eastAsia="仿宋_GB2312"/>
          <w:sz w:val="32"/>
          <w:szCs w:val="32"/>
        </w:rPr>
        <w:t>，</w:t>
      </w:r>
      <w:r w:rsidR="001D691D">
        <w:rPr>
          <w:rFonts w:eastAsia="仿宋_GB2312" w:hint="eastAsia"/>
          <w:sz w:val="32"/>
          <w:szCs w:val="32"/>
        </w:rPr>
        <w:t>主要是公务用车运行维护费减少</w:t>
      </w:r>
      <w:r w:rsidR="001D691D">
        <w:rPr>
          <w:rFonts w:eastAsia="仿宋_GB2312" w:hint="eastAsia"/>
          <w:sz w:val="32"/>
          <w:szCs w:val="32"/>
        </w:rPr>
        <w:t>0.4</w:t>
      </w:r>
      <w:r w:rsidR="001D691D">
        <w:rPr>
          <w:rFonts w:eastAsia="仿宋_GB2312" w:hint="eastAsia"/>
          <w:sz w:val="32"/>
          <w:szCs w:val="32"/>
        </w:rPr>
        <w:t>万元；</w:t>
      </w:r>
      <w:r>
        <w:rPr>
          <w:rFonts w:eastAsia="仿宋_GB2312" w:hint="eastAsia"/>
          <w:sz w:val="32"/>
          <w:szCs w:val="32"/>
        </w:rPr>
        <w:t>较</w:t>
      </w:r>
      <w:r>
        <w:rPr>
          <w:rFonts w:eastAsia="仿宋_GB2312"/>
          <w:sz w:val="32"/>
          <w:szCs w:val="32"/>
        </w:rPr>
        <w:t>201</w:t>
      </w:r>
      <w:r>
        <w:rPr>
          <w:rFonts w:eastAsia="仿宋_GB2312" w:hint="eastAsia"/>
          <w:sz w:val="32"/>
          <w:szCs w:val="32"/>
        </w:rPr>
        <w:t>7</w:t>
      </w:r>
      <w:r>
        <w:rPr>
          <w:rFonts w:eastAsia="仿宋_GB2312"/>
          <w:sz w:val="32"/>
          <w:szCs w:val="32"/>
        </w:rPr>
        <w:t>年度决算</w:t>
      </w:r>
      <w:r w:rsidR="001D691D">
        <w:rPr>
          <w:rFonts w:eastAsia="仿宋_GB2312" w:hint="eastAsia"/>
          <w:sz w:val="32"/>
          <w:szCs w:val="32"/>
        </w:rPr>
        <w:t>无增减变化，具体情况如下：</w:t>
      </w:r>
    </w:p>
    <w:p w:rsidR="000741F8" w:rsidRPr="000741F8" w:rsidRDefault="00104937" w:rsidP="000741F8">
      <w:pPr>
        <w:adjustRightInd w:val="0"/>
        <w:snapToGrid w:val="0"/>
        <w:spacing w:line="584" w:lineRule="exact"/>
        <w:ind w:firstLineChars="200" w:firstLine="641"/>
        <w:rPr>
          <w:rFonts w:eastAsia="仿宋_GB2312"/>
          <w:color w:val="000000"/>
          <w:sz w:val="32"/>
          <w:szCs w:val="32"/>
        </w:rPr>
      </w:pPr>
      <w:r>
        <w:rPr>
          <w:rFonts w:eastAsia="楷体_GB2312"/>
          <w:b/>
          <w:bCs/>
          <w:sz w:val="32"/>
          <w:szCs w:val="32"/>
        </w:rPr>
        <w:t>（一）因公出国（境）费支出</w:t>
      </w:r>
      <w:r>
        <w:rPr>
          <w:rFonts w:eastAsia="楷体_GB2312" w:hint="eastAsia"/>
          <w:b/>
          <w:bCs/>
          <w:sz w:val="32"/>
          <w:szCs w:val="32"/>
        </w:rPr>
        <w:t>0</w:t>
      </w:r>
      <w:r>
        <w:rPr>
          <w:rFonts w:eastAsia="楷体_GB2312"/>
          <w:b/>
          <w:bCs/>
          <w:sz w:val="32"/>
          <w:szCs w:val="32"/>
        </w:rPr>
        <w:t>万元。</w:t>
      </w:r>
      <w:r w:rsidR="000741F8" w:rsidRPr="000741F8">
        <w:rPr>
          <w:rFonts w:eastAsia="仿宋_GB2312"/>
          <w:color w:val="000000"/>
          <w:sz w:val="32"/>
          <w:szCs w:val="32"/>
        </w:rPr>
        <w:t>本部门</w:t>
      </w:r>
      <w:r w:rsidR="000741F8" w:rsidRPr="000741F8">
        <w:rPr>
          <w:rFonts w:eastAsia="仿宋_GB2312"/>
          <w:color w:val="000000"/>
          <w:sz w:val="32"/>
          <w:szCs w:val="32"/>
        </w:rPr>
        <w:t>201</w:t>
      </w:r>
      <w:r w:rsidR="000741F8" w:rsidRPr="000741F8">
        <w:rPr>
          <w:rFonts w:eastAsia="仿宋_GB2312" w:hint="eastAsia"/>
          <w:color w:val="000000"/>
          <w:sz w:val="32"/>
          <w:szCs w:val="32"/>
        </w:rPr>
        <w:t>8</w:t>
      </w:r>
      <w:r w:rsidR="000741F8" w:rsidRPr="000741F8">
        <w:rPr>
          <w:rFonts w:eastAsia="仿宋_GB2312"/>
          <w:color w:val="000000"/>
          <w:sz w:val="32"/>
          <w:szCs w:val="32"/>
        </w:rPr>
        <w:t>年度</w:t>
      </w:r>
      <w:r w:rsidR="000741F8" w:rsidRPr="000741F8">
        <w:rPr>
          <w:rFonts w:eastAsia="仿宋_GB2312" w:hint="eastAsia"/>
          <w:color w:val="000000"/>
          <w:sz w:val="32"/>
          <w:szCs w:val="32"/>
        </w:rPr>
        <w:t>因公出国（境）团组</w:t>
      </w:r>
      <w:r w:rsidR="000741F8" w:rsidRPr="000741F8">
        <w:rPr>
          <w:rFonts w:eastAsia="仿宋_GB2312" w:hint="eastAsia"/>
          <w:color w:val="000000"/>
          <w:sz w:val="32"/>
          <w:szCs w:val="32"/>
        </w:rPr>
        <w:t>0</w:t>
      </w:r>
      <w:r w:rsidR="000741F8" w:rsidRPr="000741F8">
        <w:rPr>
          <w:rFonts w:eastAsia="仿宋_GB2312" w:hint="eastAsia"/>
          <w:color w:val="000000"/>
          <w:sz w:val="32"/>
          <w:szCs w:val="32"/>
        </w:rPr>
        <w:t>个、共</w:t>
      </w:r>
      <w:r w:rsidR="000741F8" w:rsidRPr="000741F8">
        <w:rPr>
          <w:rFonts w:eastAsia="仿宋_GB2312" w:hint="eastAsia"/>
          <w:color w:val="000000"/>
          <w:sz w:val="32"/>
          <w:szCs w:val="32"/>
        </w:rPr>
        <w:t>0</w:t>
      </w:r>
      <w:r w:rsidR="000741F8" w:rsidRPr="000741F8">
        <w:rPr>
          <w:rFonts w:eastAsia="仿宋_GB2312" w:hint="eastAsia"/>
          <w:color w:val="000000"/>
          <w:sz w:val="32"/>
          <w:szCs w:val="32"/>
        </w:rPr>
        <w:t>人，参加其他单位组织的因公出国（境）团组</w:t>
      </w:r>
      <w:r w:rsidR="000741F8" w:rsidRPr="000741F8">
        <w:rPr>
          <w:rFonts w:eastAsia="仿宋_GB2312" w:hint="eastAsia"/>
          <w:color w:val="000000"/>
          <w:sz w:val="32"/>
          <w:szCs w:val="32"/>
        </w:rPr>
        <w:t>0</w:t>
      </w:r>
      <w:r w:rsidR="000741F8" w:rsidRPr="000741F8">
        <w:rPr>
          <w:rFonts w:eastAsia="仿宋_GB2312" w:hint="eastAsia"/>
          <w:color w:val="000000"/>
          <w:sz w:val="32"/>
          <w:szCs w:val="32"/>
        </w:rPr>
        <w:t>个、共</w:t>
      </w:r>
      <w:r w:rsidR="000741F8" w:rsidRPr="000741F8">
        <w:rPr>
          <w:rFonts w:eastAsia="仿宋_GB2312" w:hint="eastAsia"/>
          <w:color w:val="000000"/>
          <w:sz w:val="32"/>
          <w:szCs w:val="32"/>
        </w:rPr>
        <w:t>0</w:t>
      </w:r>
      <w:r w:rsidR="000741F8" w:rsidRPr="000741F8">
        <w:rPr>
          <w:rFonts w:eastAsia="仿宋_GB2312" w:hint="eastAsia"/>
          <w:color w:val="000000"/>
          <w:sz w:val="32"/>
          <w:szCs w:val="32"/>
        </w:rPr>
        <w:t>人，无本单位组织的出国（境）团组。因公出国（境）费支出</w:t>
      </w:r>
      <w:r w:rsidR="000741F8" w:rsidRPr="000741F8">
        <w:rPr>
          <w:rFonts w:eastAsia="仿宋_GB2312"/>
          <w:color w:val="000000"/>
          <w:sz w:val="32"/>
          <w:szCs w:val="32"/>
        </w:rPr>
        <w:t>较年初预算无增减变化</w:t>
      </w:r>
      <w:r w:rsidR="000741F8" w:rsidRPr="000741F8">
        <w:rPr>
          <w:rFonts w:eastAsia="仿宋_GB2312" w:hint="eastAsia"/>
          <w:color w:val="000000"/>
          <w:sz w:val="32"/>
          <w:szCs w:val="32"/>
        </w:rPr>
        <w:t>，较</w:t>
      </w:r>
      <w:r w:rsidR="000741F8">
        <w:rPr>
          <w:rFonts w:eastAsia="仿宋_GB2312" w:hint="eastAsia"/>
          <w:color w:val="000000"/>
          <w:sz w:val="32"/>
          <w:szCs w:val="32"/>
        </w:rPr>
        <w:t>2017</w:t>
      </w:r>
      <w:r w:rsidR="000741F8" w:rsidRPr="000741F8">
        <w:rPr>
          <w:rFonts w:eastAsia="仿宋_GB2312" w:hint="eastAsia"/>
          <w:color w:val="000000"/>
          <w:sz w:val="32"/>
          <w:szCs w:val="32"/>
        </w:rPr>
        <w:t>年度</w:t>
      </w:r>
      <w:r w:rsidR="000741F8">
        <w:rPr>
          <w:rFonts w:eastAsia="仿宋_GB2312" w:hint="eastAsia"/>
          <w:color w:val="000000"/>
          <w:sz w:val="32"/>
          <w:szCs w:val="32"/>
        </w:rPr>
        <w:t>决算</w:t>
      </w:r>
      <w:r w:rsidR="000741F8" w:rsidRPr="000741F8">
        <w:rPr>
          <w:rFonts w:eastAsia="仿宋_GB2312" w:hint="eastAsia"/>
          <w:color w:val="000000"/>
          <w:sz w:val="32"/>
          <w:szCs w:val="32"/>
        </w:rPr>
        <w:t>无增减变化。</w:t>
      </w:r>
    </w:p>
    <w:p w:rsidR="00BB187C" w:rsidRDefault="00A33963" w:rsidP="001D691D">
      <w:pPr>
        <w:adjustRightInd w:val="0"/>
        <w:snapToGrid w:val="0"/>
        <w:spacing w:line="584" w:lineRule="exact"/>
        <w:ind w:firstLineChars="200" w:firstLine="641"/>
        <w:rPr>
          <w:rFonts w:eastAsia="仿宋_GB2312"/>
          <w:color w:val="000000"/>
          <w:sz w:val="32"/>
          <w:szCs w:val="32"/>
        </w:rPr>
      </w:pPr>
      <w:r>
        <w:rPr>
          <w:rFonts w:eastAsia="楷体_GB2312" w:hint="eastAsia"/>
          <w:b/>
          <w:bCs/>
          <w:sz w:val="32"/>
          <w:szCs w:val="32"/>
        </w:rPr>
        <w:t>（二）</w:t>
      </w:r>
      <w:r w:rsidR="00104937">
        <w:rPr>
          <w:rFonts w:eastAsia="楷体_GB2312"/>
          <w:b/>
          <w:bCs/>
          <w:sz w:val="32"/>
          <w:szCs w:val="32"/>
        </w:rPr>
        <w:t>公务用车购置及运行维护费支出</w:t>
      </w:r>
      <w:r w:rsidR="00104937">
        <w:rPr>
          <w:rFonts w:eastAsia="楷体_GB2312" w:hint="eastAsia"/>
          <w:b/>
          <w:bCs/>
          <w:sz w:val="32"/>
          <w:szCs w:val="32"/>
        </w:rPr>
        <w:t>2</w:t>
      </w:r>
      <w:r w:rsidR="00104937">
        <w:rPr>
          <w:rFonts w:eastAsia="楷体_GB2312"/>
          <w:b/>
          <w:bCs/>
          <w:sz w:val="32"/>
          <w:szCs w:val="32"/>
        </w:rPr>
        <w:t>万元。</w:t>
      </w:r>
      <w:r w:rsidR="00104937">
        <w:rPr>
          <w:rFonts w:ascii="仿宋_GB2312" w:eastAsia="仿宋_GB2312" w:cs="DengXian-Regular" w:hint="eastAsia"/>
          <w:sz w:val="32"/>
          <w:szCs w:val="32"/>
        </w:rPr>
        <w:t>本部门</w:t>
      </w:r>
      <w:r w:rsidR="00104937">
        <w:rPr>
          <w:rFonts w:ascii="仿宋_GB2312" w:eastAsia="仿宋_GB2312" w:cs="DengXian-Regular" w:hint="eastAsia"/>
          <w:sz w:val="32"/>
          <w:szCs w:val="32"/>
        </w:rPr>
        <w:lastRenderedPageBreak/>
        <w:t>2018年度公务用车购置及运行维护费2</w:t>
      </w:r>
      <w:r w:rsidR="00104937">
        <w:rPr>
          <w:rFonts w:eastAsia="仿宋_GB2312"/>
          <w:sz w:val="32"/>
          <w:szCs w:val="32"/>
        </w:rPr>
        <w:t>万元</w:t>
      </w:r>
      <w:r w:rsidR="00104937">
        <w:rPr>
          <w:rFonts w:ascii="仿宋_GB2312" w:eastAsia="仿宋_GB2312" w:cs="DengXian-Regular" w:hint="eastAsia"/>
          <w:sz w:val="32"/>
          <w:szCs w:val="32"/>
        </w:rPr>
        <w:t>，</w:t>
      </w:r>
      <w:r w:rsidR="001D691D" w:rsidRPr="001D691D">
        <w:rPr>
          <w:rFonts w:eastAsia="仿宋_GB2312" w:hint="eastAsia"/>
          <w:sz w:val="32"/>
          <w:szCs w:val="32"/>
        </w:rPr>
        <w:t>较</w:t>
      </w:r>
      <w:r w:rsidR="001D691D" w:rsidRPr="001D691D">
        <w:rPr>
          <w:rFonts w:eastAsia="仿宋_GB2312"/>
          <w:sz w:val="32"/>
          <w:szCs w:val="32"/>
        </w:rPr>
        <w:t>年初预算</w:t>
      </w:r>
      <w:r w:rsidR="001D691D">
        <w:rPr>
          <w:rFonts w:eastAsia="仿宋_GB2312" w:hint="eastAsia"/>
          <w:sz w:val="32"/>
          <w:szCs w:val="32"/>
        </w:rPr>
        <w:t>减少</w:t>
      </w:r>
      <w:r w:rsidR="001D691D">
        <w:rPr>
          <w:rFonts w:eastAsia="仿宋_GB2312" w:hint="eastAsia"/>
          <w:sz w:val="32"/>
          <w:szCs w:val="32"/>
        </w:rPr>
        <w:t>0.4</w:t>
      </w:r>
      <w:r w:rsidR="001D691D">
        <w:rPr>
          <w:rFonts w:eastAsia="仿宋_GB2312" w:hint="eastAsia"/>
          <w:sz w:val="32"/>
          <w:szCs w:val="32"/>
        </w:rPr>
        <w:t>万元，</w:t>
      </w:r>
      <w:r w:rsidR="001D691D">
        <w:rPr>
          <w:rFonts w:eastAsia="仿宋_GB2312"/>
          <w:sz w:val="32"/>
          <w:szCs w:val="32"/>
        </w:rPr>
        <w:t>降低</w:t>
      </w:r>
      <w:r w:rsidR="001D691D">
        <w:rPr>
          <w:rFonts w:eastAsia="仿宋_GB2312" w:hint="eastAsia"/>
          <w:sz w:val="32"/>
          <w:szCs w:val="32"/>
        </w:rPr>
        <w:t>16.6</w:t>
      </w:r>
      <w:r w:rsidR="001D691D" w:rsidRPr="00C92D15">
        <w:rPr>
          <w:rFonts w:eastAsia="仿宋_GB2312"/>
          <w:sz w:val="32"/>
          <w:szCs w:val="32"/>
        </w:rPr>
        <w:t>%</w:t>
      </w:r>
      <w:r w:rsidR="001D691D">
        <w:rPr>
          <w:rFonts w:eastAsia="仿宋_GB2312" w:hint="eastAsia"/>
          <w:sz w:val="32"/>
          <w:szCs w:val="32"/>
        </w:rPr>
        <w:t>，主要是</w:t>
      </w:r>
      <w:r>
        <w:rPr>
          <w:rFonts w:eastAsia="仿宋_GB2312" w:hint="eastAsia"/>
          <w:sz w:val="32"/>
          <w:szCs w:val="32"/>
        </w:rPr>
        <w:t>公务用车运行维护费减少</w:t>
      </w:r>
      <w:r>
        <w:rPr>
          <w:rFonts w:eastAsia="仿宋_GB2312" w:hint="eastAsia"/>
          <w:sz w:val="32"/>
          <w:szCs w:val="32"/>
        </w:rPr>
        <w:t>0.4</w:t>
      </w:r>
      <w:r>
        <w:rPr>
          <w:rFonts w:eastAsia="仿宋_GB2312" w:hint="eastAsia"/>
          <w:sz w:val="32"/>
          <w:szCs w:val="32"/>
        </w:rPr>
        <w:t>万元</w:t>
      </w:r>
      <w:r w:rsidR="00E63CDC">
        <w:rPr>
          <w:rFonts w:eastAsia="仿宋_GB2312" w:hint="eastAsia"/>
          <w:sz w:val="32"/>
          <w:szCs w:val="32"/>
        </w:rPr>
        <w:t>，</w:t>
      </w:r>
      <w:r w:rsidR="00104937">
        <w:rPr>
          <w:rFonts w:eastAsia="仿宋_GB2312"/>
          <w:color w:val="000000"/>
          <w:sz w:val="32"/>
          <w:szCs w:val="32"/>
        </w:rPr>
        <w:t>较</w:t>
      </w:r>
      <w:r w:rsidR="00104937">
        <w:rPr>
          <w:rFonts w:eastAsia="仿宋_GB2312"/>
          <w:color w:val="000000"/>
          <w:sz w:val="32"/>
          <w:szCs w:val="32"/>
        </w:rPr>
        <w:t>201</w:t>
      </w:r>
      <w:r w:rsidR="00104937">
        <w:rPr>
          <w:rFonts w:eastAsia="仿宋_GB2312" w:hint="eastAsia"/>
          <w:color w:val="000000"/>
          <w:sz w:val="32"/>
          <w:szCs w:val="32"/>
        </w:rPr>
        <w:t>7</w:t>
      </w:r>
      <w:r w:rsidR="00104937">
        <w:rPr>
          <w:rFonts w:eastAsia="仿宋_GB2312"/>
          <w:color w:val="000000"/>
          <w:sz w:val="32"/>
          <w:szCs w:val="32"/>
        </w:rPr>
        <w:t>年度决算无增减变化</w:t>
      </w:r>
      <w:r w:rsidR="00104937">
        <w:rPr>
          <w:rFonts w:eastAsia="仿宋_GB2312" w:hint="eastAsia"/>
          <w:color w:val="000000"/>
          <w:sz w:val="32"/>
          <w:szCs w:val="32"/>
        </w:rPr>
        <w:t>。</w:t>
      </w:r>
      <w:r>
        <w:rPr>
          <w:rFonts w:eastAsia="仿宋_GB2312" w:hint="eastAsia"/>
          <w:color w:val="000000"/>
          <w:sz w:val="32"/>
          <w:szCs w:val="32"/>
        </w:rPr>
        <w:t>其中：</w:t>
      </w:r>
    </w:p>
    <w:p w:rsidR="00A33963" w:rsidRPr="00F84AE5" w:rsidRDefault="00A33963" w:rsidP="00FA3296">
      <w:pPr>
        <w:adjustRightInd w:val="0"/>
        <w:snapToGrid w:val="0"/>
        <w:spacing w:line="580" w:lineRule="exact"/>
        <w:ind w:firstLineChars="250" w:firstLine="803"/>
        <w:rPr>
          <w:rFonts w:ascii="仿宋_GB2312" w:eastAsia="仿宋_GB2312" w:cs="DengXian-Regular"/>
          <w:sz w:val="32"/>
          <w:szCs w:val="32"/>
        </w:rPr>
      </w:pPr>
      <w:r>
        <w:rPr>
          <w:rFonts w:eastAsia="仿宋_GB2312"/>
          <w:b/>
          <w:sz w:val="32"/>
          <w:szCs w:val="32"/>
        </w:rPr>
        <w:t>公务用车购置费支出</w:t>
      </w:r>
      <w:r>
        <w:rPr>
          <w:rFonts w:eastAsia="仿宋_GB2312" w:hint="eastAsia"/>
          <w:b/>
          <w:sz w:val="32"/>
          <w:szCs w:val="32"/>
        </w:rPr>
        <w:t>0</w:t>
      </w:r>
      <w:r>
        <w:rPr>
          <w:rFonts w:eastAsia="仿宋_GB2312" w:hint="eastAsia"/>
          <w:b/>
          <w:sz w:val="32"/>
          <w:szCs w:val="32"/>
        </w:rPr>
        <w:t>万元</w:t>
      </w:r>
      <w:r>
        <w:rPr>
          <w:rFonts w:eastAsia="仿宋_GB2312"/>
          <w:b/>
          <w:sz w:val="32"/>
          <w:szCs w:val="32"/>
        </w:rPr>
        <w:t>。</w:t>
      </w:r>
      <w:r>
        <w:rPr>
          <w:rFonts w:ascii="仿宋_GB2312" w:eastAsia="仿宋_GB2312" w:cs="DengXian-Regular" w:hint="eastAsia"/>
          <w:sz w:val="32"/>
          <w:szCs w:val="32"/>
        </w:rPr>
        <w:t>本部门2018年度公务用车购置量0辆，发生“公务用车购置”经费支出0万元。公务用车购置费支出较年初预算无增减变化，</w:t>
      </w:r>
      <w:r w:rsidRPr="00D171A7">
        <w:rPr>
          <w:rFonts w:ascii="仿宋_GB2312" w:eastAsia="仿宋_GB2312" w:cs="DengXian-Regular" w:hint="eastAsia"/>
          <w:sz w:val="32"/>
          <w:szCs w:val="32"/>
        </w:rPr>
        <w:t>较</w:t>
      </w:r>
      <w:r w:rsidRPr="00F84AE5">
        <w:rPr>
          <w:rFonts w:ascii="仿宋_GB2312" w:eastAsia="仿宋_GB2312" w:cs="DengXian-Regular"/>
          <w:sz w:val="32"/>
          <w:szCs w:val="32"/>
        </w:rPr>
        <w:t>201</w:t>
      </w:r>
      <w:r w:rsidRPr="00F84AE5">
        <w:rPr>
          <w:rFonts w:ascii="仿宋_GB2312" w:eastAsia="仿宋_GB2312" w:cs="DengXian-Regular" w:hint="eastAsia"/>
          <w:sz w:val="32"/>
          <w:szCs w:val="32"/>
        </w:rPr>
        <w:t>7</w:t>
      </w:r>
      <w:r w:rsidRPr="00F84AE5">
        <w:rPr>
          <w:rFonts w:ascii="仿宋_GB2312" w:eastAsia="仿宋_GB2312" w:cs="DengXian-Regular"/>
          <w:sz w:val="32"/>
          <w:szCs w:val="32"/>
        </w:rPr>
        <w:t>年度决算</w:t>
      </w:r>
      <w:r w:rsidRPr="00D171A7">
        <w:rPr>
          <w:rFonts w:ascii="仿宋_GB2312" w:eastAsia="仿宋_GB2312" w:cs="DengXian-Regular" w:hint="eastAsia"/>
          <w:sz w:val="32"/>
          <w:szCs w:val="32"/>
        </w:rPr>
        <w:t>无增减变化。</w:t>
      </w:r>
    </w:p>
    <w:p w:rsidR="00A33963" w:rsidRPr="00A33963" w:rsidRDefault="00A33963" w:rsidP="00FA3296">
      <w:pPr>
        <w:adjustRightInd w:val="0"/>
        <w:snapToGrid w:val="0"/>
        <w:spacing w:line="584" w:lineRule="exact"/>
        <w:ind w:firstLineChars="250" w:firstLine="803"/>
        <w:rPr>
          <w:rFonts w:eastAsia="仿宋_GB2312"/>
          <w:color w:val="000000"/>
          <w:sz w:val="32"/>
          <w:szCs w:val="32"/>
        </w:rPr>
      </w:pPr>
      <w:r>
        <w:rPr>
          <w:rFonts w:eastAsia="仿宋_GB2312"/>
          <w:b/>
          <w:sz w:val="32"/>
          <w:szCs w:val="32"/>
        </w:rPr>
        <w:t>公务用车运行维护费支出</w:t>
      </w:r>
      <w:r>
        <w:rPr>
          <w:rFonts w:eastAsia="仿宋_GB2312" w:hint="eastAsia"/>
          <w:b/>
          <w:sz w:val="32"/>
          <w:szCs w:val="32"/>
        </w:rPr>
        <w:t>2</w:t>
      </w:r>
      <w:r>
        <w:rPr>
          <w:rFonts w:eastAsia="仿宋_GB2312"/>
          <w:b/>
          <w:sz w:val="32"/>
          <w:szCs w:val="32"/>
        </w:rPr>
        <w:t>万元。</w:t>
      </w:r>
      <w:r>
        <w:rPr>
          <w:rFonts w:eastAsia="仿宋_GB2312"/>
          <w:sz w:val="32"/>
          <w:szCs w:val="32"/>
        </w:rPr>
        <w:t>本部门</w:t>
      </w:r>
      <w:r>
        <w:rPr>
          <w:rFonts w:eastAsia="仿宋_GB2312"/>
          <w:sz w:val="32"/>
          <w:szCs w:val="32"/>
        </w:rPr>
        <w:t>201</w:t>
      </w:r>
      <w:r>
        <w:rPr>
          <w:rFonts w:eastAsia="仿宋_GB2312" w:hint="eastAsia"/>
          <w:sz w:val="32"/>
          <w:szCs w:val="32"/>
        </w:rPr>
        <w:t>8</w:t>
      </w:r>
      <w:r>
        <w:rPr>
          <w:rFonts w:eastAsia="仿宋_GB2312"/>
          <w:sz w:val="32"/>
          <w:szCs w:val="32"/>
        </w:rPr>
        <w:t>年末单位公务用车保有量</w:t>
      </w:r>
      <w:r>
        <w:rPr>
          <w:rFonts w:eastAsia="仿宋_GB2312" w:hint="eastAsia"/>
          <w:sz w:val="32"/>
          <w:szCs w:val="32"/>
        </w:rPr>
        <w:t>1</w:t>
      </w:r>
      <w:r>
        <w:rPr>
          <w:rFonts w:eastAsia="仿宋_GB2312"/>
          <w:sz w:val="32"/>
          <w:szCs w:val="32"/>
        </w:rPr>
        <w:t>辆。公车运行维护费支出</w:t>
      </w:r>
      <w:r w:rsidRPr="001D691D">
        <w:rPr>
          <w:rFonts w:eastAsia="仿宋_GB2312" w:hint="eastAsia"/>
          <w:sz w:val="32"/>
          <w:szCs w:val="32"/>
        </w:rPr>
        <w:t>较</w:t>
      </w:r>
      <w:r w:rsidRPr="001D691D">
        <w:rPr>
          <w:rFonts w:eastAsia="仿宋_GB2312"/>
          <w:sz w:val="32"/>
          <w:szCs w:val="32"/>
        </w:rPr>
        <w:t>年初预算</w:t>
      </w:r>
      <w:r>
        <w:rPr>
          <w:rFonts w:eastAsia="仿宋_GB2312" w:hint="eastAsia"/>
          <w:sz w:val="32"/>
          <w:szCs w:val="32"/>
        </w:rPr>
        <w:t>减少</w:t>
      </w:r>
      <w:r>
        <w:rPr>
          <w:rFonts w:eastAsia="仿宋_GB2312" w:hint="eastAsia"/>
          <w:sz w:val="32"/>
          <w:szCs w:val="32"/>
        </w:rPr>
        <w:t>0.4</w:t>
      </w:r>
      <w:r>
        <w:rPr>
          <w:rFonts w:eastAsia="仿宋_GB2312" w:hint="eastAsia"/>
          <w:sz w:val="32"/>
          <w:szCs w:val="32"/>
        </w:rPr>
        <w:t>万元，</w:t>
      </w:r>
      <w:r>
        <w:rPr>
          <w:rFonts w:eastAsia="仿宋_GB2312"/>
          <w:sz w:val="32"/>
          <w:szCs w:val="32"/>
        </w:rPr>
        <w:t>降低</w:t>
      </w:r>
      <w:r>
        <w:rPr>
          <w:rFonts w:eastAsia="仿宋_GB2312" w:hint="eastAsia"/>
          <w:sz w:val="32"/>
          <w:szCs w:val="32"/>
        </w:rPr>
        <w:t>16.6</w:t>
      </w:r>
      <w:r w:rsidRPr="00C92D15">
        <w:rPr>
          <w:rFonts w:eastAsia="仿宋_GB2312"/>
          <w:sz w:val="32"/>
          <w:szCs w:val="32"/>
        </w:rPr>
        <w:t>%</w:t>
      </w:r>
      <w:r>
        <w:rPr>
          <w:rFonts w:eastAsia="仿宋_GB2312" w:hint="eastAsia"/>
          <w:sz w:val="32"/>
          <w:szCs w:val="32"/>
        </w:rPr>
        <w:t>，主要原因是严格落实公务用车管理制度，压减不必要的开支</w:t>
      </w:r>
      <w:r>
        <w:rPr>
          <w:rFonts w:eastAsia="仿宋_GB2312"/>
          <w:sz w:val="32"/>
          <w:szCs w:val="32"/>
        </w:rPr>
        <w:t>；</w:t>
      </w:r>
      <w:r>
        <w:rPr>
          <w:rFonts w:eastAsia="仿宋_GB2312"/>
          <w:color w:val="000000"/>
          <w:sz w:val="32"/>
          <w:szCs w:val="32"/>
        </w:rPr>
        <w:t>较</w:t>
      </w:r>
      <w:r>
        <w:rPr>
          <w:rFonts w:eastAsia="仿宋_GB2312"/>
          <w:color w:val="000000"/>
          <w:sz w:val="32"/>
          <w:szCs w:val="32"/>
        </w:rPr>
        <w:t>201</w:t>
      </w:r>
      <w:r>
        <w:rPr>
          <w:rFonts w:eastAsia="仿宋_GB2312" w:hint="eastAsia"/>
          <w:color w:val="000000"/>
          <w:sz w:val="32"/>
          <w:szCs w:val="32"/>
        </w:rPr>
        <w:t>7</w:t>
      </w:r>
      <w:r>
        <w:rPr>
          <w:rFonts w:eastAsia="仿宋_GB2312"/>
          <w:color w:val="000000"/>
          <w:sz w:val="32"/>
          <w:szCs w:val="32"/>
        </w:rPr>
        <w:t>年度决算无增减变化</w:t>
      </w:r>
      <w:r>
        <w:rPr>
          <w:rFonts w:eastAsia="仿宋_GB2312" w:hint="eastAsia"/>
          <w:color w:val="000000"/>
          <w:sz w:val="32"/>
          <w:szCs w:val="32"/>
        </w:rPr>
        <w:t>。</w:t>
      </w:r>
    </w:p>
    <w:p w:rsidR="00A33963" w:rsidRPr="00A33963" w:rsidRDefault="00A33963" w:rsidP="00A33963">
      <w:pPr>
        <w:adjustRightInd w:val="0"/>
        <w:snapToGrid w:val="0"/>
        <w:spacing w:after="0" w:line="580" w:lineRule="exact"/>
        <w:ind w:firstLineChars="200" w:firstLine="641"/>
        <w:jc w:val="left"/>
        <w:rPr>
          <w:rFonts w:ascii="黑体" w:eastAsia="黑体"/>
          <w:sz w:val="32"/>
          <w:szCs w:val="40"/>
        </w:rPr>
      </w:pPr>
      <w:r w:rsidRPr="00A33963">
        <w:rPr>
          <w:rFonts w:eastAsia="楷体_GB2312" w:hint="eastAsia"/>
          <w:b/>
          <w:bCs/>
          <w:sz w:val="32"/>
          <w:szCs w:val="32"/>
        </w:rPr>
        <w:t>（三）</w:t>
      </w:r>
      <w:r w:rsidR="00104937" w:rsidRPr="00A33963">
        <w:rPr>
          <w:rFonts w:eastAsia="楷体_GB2312"/>
          <w:b/>
          <w:bCs/>
          <w:sz w:val="32"/>
          <w:szCs w:val="32"/>
        </w:rPr>
        <w:t>公务接待费支出</w:t>
      </w:r>
      <w:r w:rsidR="00104937" w:rsidRPr="00A33963">
        <w:rPr>
          <w:rFonts w:eastAsia="楷体_GB2312" w:hint="eastAsia"/>
          <w:b/>
          <w:bCs/>
          <w:sz w:val="32"/>
          <w:szCs w:val="32"/>
        </w:rPr>
        <w:t>0</w:t>
      </w:r>
      <w:r w:rsidR="00104937" w:rsidRPr="00A33963">
        <w:rPr>
          <w:rFonts w:eastAsia="楷体_GB2312"/>
          <w:b/>
          <w:bCs/>
          <w:sz w:val="32"/>
          <w:szCs w:val="32"/>
        </w:rPr>
        <w:t>万元。</w:t>
      </w:r>
      <w:r w:rsidRPr="00A33963">
        <w:rPr>
          <w:rFonts w:eastAsia="仿宋_GB2312"/>
          <w:sz w:val="32"/>
          <w:szCs w:val="32"/>
        </w:rPr>
        <w:t>本部门</w:t>
      </w:r>
      <w:r w:rsidRPr="00A33963">
        <w:rPr>
          <w:rFonts w:eastAsia="仿宋_GB2312"/>
          <w:sz w:val="32"/>
          <w:szCs w:val="32"/>
        </w:rPr>
        <w:t>201</w:t>
      </w:r>
      <w:r w:rsidRPr="00A33963">
        <w:rPr>
          <w:rFonts w:eastAsia="仿宋_GB2312" w:hint="eastAsia"/>
          <w:sz w:val="32"/>
          <w:szCs w:val="32"/>
        </w:rPr>
        <w:t>8</w:t>
      </w:r>
      <w:r w:rsidRPr="00A33963">
        <w:rPr>
          <w:rFonts w:eastAsia="仿宋_GB2312"/>
          <w:sz w:val="32"/>
          <w:szCs w:val="32"/>
        </w:rPr>
        <w:t>年度公务接待共</w:t>
      </w:r>
      <w:r w:rsidRPr="00A33963">
        <w:rPr>
          <w:rFonts w:eastAsia="仿宋_GB2312" w:hint="eastAsia"/>
          <w:sz w:val="32"/>
          <w:szCs w:val="32"/>
        </w:rPr>
        <w:t>0</w:t>
      </w:r>
      <w:r w:rsidRPr="00A33963">
        <w:rPr>
          <w:rFonts w:eastAsia="仿宋_GB2312"/>
          <w:sz w:val="32"/>
          <w:szCs w:val="32"/>
        </w:rPr>
        <w:t>批次、</w:t>
      </w:r>
      <w:r w:rsidRPr="00A33963">
        <w:rPr>
          <w:rFonts w:eastAsia="仿宋_GB2312" w:hint="eastAsia"/>
          <w:sz w:val="32"/>
          <w:szCs w:val="32"/>
        </w:rPr>
        <w:t>0</w:t>
      </w:r>
      <w:r w:rsidRPr="00A33963">
        <w:rPr>
          <w:rFonts w:eastAsia="仿宋_GB2312"/>
          <w:sz w:val="32"/>
          <w:szCs w:val="32"/>
        </w:rPr>
        <w:t>人次。公务接待费支出</w:t>
      </w:r>
      <w:r w:rsidRPr="00A33963">
        <w:rPr>
          <w:rFonts w:eastAsia="仿宋_GB2312" w:hint="eastAsia"/>
          <w:sz w:val="32"/>
          <w:szCs w:val="32"/>
        </w:rPr>
        <w:t>较</w:t>
      </w:r>
      <w:r w:rsidRPr="00A33963">
        <w:rPr>
          <w:rFonts w:eastAsia="仿宋_GB2312"/>
          <w:sz w:val="32"/>
          <w:szCs w:val="32"/>
        </w:rPr>
        <w:t>年初预算</w:t>
      </w:r>
      <w:r w:rsidRPr="00A33963">
        <w:rPr>
          <w:rFonts w:eastAsia="仿宋_GB2312" w:hint="eastAsia"/>
          <w:sz w:val="32"/>
          <w:szCs w:val="32"/>
        </w:rPr>
        <w:t>无增减变化</w:t>
      </w:r>
      <w:r w:rsidR="00E63CDC">
        <w:rPr>
          <w:rFonts w:eastAsia="仿宋_GB2312" w:hint="eastAsia"/>
          <w:sz w:val="32"/>
          <w:szCs w:val="32"/>
        </w:rPr>
        <w:t>；</w:t>
      </w:r>
      <w:r>
        <w:rPr>
          <w:rFonts w:eastAsia="仿宋_GB2312" w:hint="eastAsia"/>
          <w:sz w:val="32"/>
          <w:szCs w:val="32"/>
        </w:rPr>
        <w:t>较</w:t>
      </w:r>
      <w:r w:rsidRPr="00615C31">
        <w:rPr>
          <w:rFonts w:eastAsia="仿宋_GB2312"/>
          <w:sz w:val="32"/>
          <w:szCs w:val="32"/>
        </w:rPr>
        <w:t>201</w:t>
      </w:r>
      <w:r w:rsidRPr="00615C31">
        <w:rPr>
          <w:rFonts w:eastAsia="仿宋_GB2312" w:hint="eastAsia"/>
          <w:sz w:val="32"/>
          <w:szCs w:val="32"/>
        </w:rPr>
        <w:t>7</w:t>
      </w:r>
      <w:r w:rsidRPr="00615C31">
        <w:rPr>
          <w:rFonts w:eastAsia="仿宋_GB2312"/>
          <w:sz w:val="32"/>
          <w:szCs w:val="32"/>
        </w:rPr>
        <w:t>年度决算</w:t>
      </w:r>
      <w:r>
        <w:rPr>
          <w:rFonts w:eastAsia="仿宋_GB2312" w:hint="eastAsia"/>
          <w:sz w:val="32"/>
          <w:szCs w:val="32"/>
        </w:rPr>
        <w:t>无增减变化。</w:t>
      </w:r>
    </w:p>
    <w:p w:rsidR="00BB187C" w:rsidRPr="00A33963" w:rsidRDefault="00104937" w:rsidP="00A33963">
      <w:pPr>
        <w:numPr>
          <w:ilvl w:val="0"/>
          <w:numId w:val="3"/>
        </w:numPr>
        <w:adjustRightInd w:val="0"/>
        <w:snapToGrid w:val="0"/>
        <w:spacing w:after="0" w:line="580" w:lineRule="exact"/>
        <w:ind w:firstLineChars="200" w:firstLine="640"/>
        <w:rPr>
          <w:rFonts w:ascii="黑体" w:eastAsia="黑体"/>
          <w:sz w:val="32"/>
          <w:szCs w:val="40"/>
        </w:rPr>
      </w:pPr>
      <w:r w:rsidRPr="00A33963">
        <w:rPr>
          <w:rFonts w:ascii="黑体" w:eastAsia="黑体" w:hint="eastAsia"/>
          <w:sz w:val="32"/>
          <w:szCs w:val="40"/>
        </w:rPr>
        <w:t>预算绩效情况说明</w:t>
      </w:r>
    </w:p>
    <w:p w:rsidR="00BB187C" w:rsidRDefault="00104937">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（一）预算绩效管理工作开展情况。</w:t>
      </w:r>
    </w:p>
    <w:p w:rsidR="00BB187C" w:rsidRDefault="00104937">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 xml:space="preserve"> 我单位强化绩效理念，深入推进评价工作，进一步强化绩效管理理念提升整体绩效管理水平；强化事前准备，提升评价质量，强化结果应用，巩固评价成效。</w:t>
      </w:r>
    </w:p>
    <w:p w:rsidR="00BB187C" w:rsidRDefault="00104937">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（二）项目绩效自评结果。</w:t>
      </w:r>
    </w:p>
    <w:p w:rsidR="00BB187C" w:rsidRDefault="00104937">
      <w:pPr>
        <w:pStyle w:val="a8"/>
        <w:widowControl/>
        <w:shd w:val="clear" w:color="auto" w:fill="FFFFFF"/>
        <w:spacing w:before="0" w:beforeAutospacing="0" w:after="0" w:afterAutospacing="0" w:line="405" w:lineRule="atLeast"/>
        <w:ind w:firstLine="645"/>
        <w:rPr>
          <w:rFonts w:ascii="仿宋_GB2312" w:eastAsia="仿宋_GB2312" w:cs="DengXian-Regular"/>
          <w:sz w:val="32"/>
          <w:szCs w:val="32"/>
        </w:rPr>
      </w:pPr>
      <w:r>
        <w:rPr>
          <w:rFonts w:eastAsia="仿宋_GB2312"/>
          <w:kern w:val="2"/>
          <w:sz w:val="32"/>
          <w:szCs w:val="32"/>
        </w:rPr>
        <w:t>管理和组织实施国家和省市立项的土地治理项目、多种经营及龙头项目、农业高新技术园区项目以及其他农业综合开发项目。</w:t>
      </w:r>
      <w:r>
        <w:rPr>
          <w:rFonts w:eastAsia="仿宋_GB2312"/>
          <w:kern w:val="2"/>
          <w:sz w:val="32"/>
          <w:szCs w:val="32"/>
        </w:rPr>
        <w:lastRenderedPageBreak/>
        <w:t>组织土地治理项目建设及资金使用情况检查，对土地治理项目进行县级验收；对土地治理项目建设情况和资金管理情况进行大排查，提前发现并消灭问题隐患</w:t>
      </w:r>
      <w:r>
        <w:rPr>
          <w:rFonts w:eastAsia="仿宋_GB2312" w:hint="eastAsia"/>
          <w:kern w:val="2"/>
          <w:sz w:val="32"/>
          <w:szCs w:val="32"/>
        </w:rPr>
        <w:t>,</w:t>
      </w:r>
      <w:r>
        <w:rPr>
          <w:rFonts w:eastAsia="仿宋_GB2312" w:hint="eastAsia"/>
          <w:kern w:val="2"/>
          <w:sz w:val="32"/>
          <w:szCs w:val="32"/>
        </w:rPr>
        <w:t>取得良好成果</w:t>
      </w:r>
      <w:r>
        <w:rPr>
          <w:rFonts w:ascii="仿宋_GB2312" w:eastAsia="仿宋_GB2312" w:cs="DengXian-Regular" w:hint="eastAsia"/>
          <w:sz w:val="32"/>
          <w:szCs w:val="32"/>
        </w:rPr>
        <w:t>。</w:t>
      </w:r>
      <w:r>
        <w:rPr>
          <w:rFonts w:ascii="仿宋_GB2312" w:eastAsia="仿宋_GB2312" w:hAnsi="Arial" w:cs="仿宋_GB2312" w:hint="eastAsia"/>
          <w:color w:val="333333"/>
          <w:sz w:val="32"/>
          <w:szCs w:val="32"/>
          <w:shd w:val="clear" w:color="auto" w:fill="FFFFFF"/>
        </w:rPr>
        <w:t>按照《河北省农业综合开发绩效评价办法》要求，通过客观、细致的计算,验收成绩良好。</w:t>
      </w:r>
    </w:p>
    <w:p w:rsidR="00BB187C" w:rsidRDefault="00104937">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（三）重点项目绩效评价结果。</w:t>
      </w:r>
    </w:p>
    <w:p w:rsidR="00BB187C" w:rsidRDefault="00104937">
      <w:pPr>
        <w:ind w:firstLine="600"/>
        <w:rPr>
          <w:rFonts w:ascii="仿宋_GB2312" w:eastAsia="仿宋_GB2312" w:hAnsi="Arial" w:cs="仿宋_GB2312"/>
          <w:color w:val="333333"/>
          <w:sz w:val="32"/>
          <w:szCs w:val="32"/>
          <w:shd w:val="clear" w:color="auto" w:fill="FFFFFF"/>
        </w:rPr>
      </w:pPr>
      <w:r>
        <w:rPr>
          <w:rFonts w:ascii="仿宋_GB2312" w:eastAsia="仿宋_GB2312" w:hAnsi="Arial" w:cs="仿宋_GB2312" w:hint="eastAsia"/>
          <w:color w:val="333333"/>
          <w:kern w:val="0"/>
          <w:sz w:val="32"/>
          <w:szCs w:val="32"/>
          <w:shd w:val="clear" w:color="auto" w:fill="FFFFFF"/>
        </w:rPr>
        <w:t>试点项目建设可以拉动项目区群众对农业基础设施的投入力度，从而可以极大地改善项目区的农业生产条件，为实现农业的持续、快速发展打下坚实的物质基础；促使项目区群众解放思想，更新观念，提高对市场经济的适应能力，从而壮大自身的经济实力；使项目区生态环境得到改善，抵御自然灾害的能力进一步增强。预计项目实施后，项目区新增种植业总产值、新增农民纯收入总额、农民人均种植业纯收入等各项效益指标较高。</w:t>
      </w:r>
    </w:p>
    <w:p w:rsidR="00BB187C" w:rsidRDefault="00104937">
      <w:pPr>
        <w:pStyle w:val="2"/>
        <w:spacing w:before="0" w:after="0" w:line="580" w:lineRule="exact"/>
        <w:rPr>
          <w:rFonts w:ascii="黑体" w:eastAsia="黑体" w:cs="Times New Roman"/>
          <w:b w:val="0"/>
          <w:bCs w:val="0"/>
        </w:rPr>
      </w:pPr>
      <w:r>
        <w:rPr>
          <w:rFonts w:ascii="黑体" w:eastAsia="黑体" w:cs="Times New Roman" w:hint="eastAsia"/>
          <w:b w:val="0"/>
          <w:bCs w:val="0"/>
        </w:rPr>
        <w:lastRenderedPageBreak/>
        <w:t>七、其他重要事项的说明</w:t>
      </w:r>
    </w:p>
    <w:p w:rsidR="00BB187C" w:rsidRDefault="00104937" w:rsidP="001D691D">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t>（一）机关运行经费情况</w:t>
      </w:r>
    </w:p>
    <w:p w:rsidR="00BB187C" w:rsidRDefault="00104937">
      <w:pPr>
        <w:pStyle w:val="3"/>
        <w:spacing w:before="0" w:after="0" w:line="580" w:lineRule="exact"/>
        <w:ind w:firstLineChars="200" w:firstLine="640"/>
        <w:rPr>
          <w:rFonts w:ascii="仿宋_GB2312" w:eastAsia="仿宋_GB2312" w:cs="DengXian-Regular"/>
          <w:b w:val="0"/>
          <w:bCs w:val="0"/>
        </w:rPr>
      </w:pPr>
      <w:r>
        <w:rPr>
          <w:rFonts w:ascii="仿宋_GB2312" w:eastAsia="仿宋_GB2312" w:cs="DengXian-Regular" w:hint="eastAsia"/>
          <w:b w:val="0"/>
          <w:bCs w:val="0"/>
        </w:rPr>
        <w:t>本部门2018年度机关运行经费支出26.14万元，比年初预算数增加7.33万元，增长38%。主要是日常开支增加。较2017年度决算增加4.61万元，增长21%，主要原因是办公开支价格波动导致。</w:t>
      </w:r>
    </w:p>
    <w:p w:rsidR="00BB187C" w:rsidRDefault="00104937" w:rsidP="001D691D">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t>（二）政府采购情况</w:t>
      </w:r>
    </w:p>
    <w:p w:rsidR="00A33963" w:rsidRPr="00A33963" w:rsidRDefault="00A33963" w:rsidP="006F2933">
      <w:pPr>
        <w:pStyle w:val="3"/>
        <w:spacing w:before="0" w:after="0" w:line="580" w:lineRule="exact"/>
        <w:ind w:firstLineChars="250" w:firstLine="800"/>
        <w:rPr>
          <w:rFonts w:ascii="仿宋_GB2312" w:eastAsia="仿宋_GB2312" w:hAnsi="仿宋_GB2312" w:cs="仿宋_GB2312"/>
          <w:b w:val="0"/>
          <w:color w:val="000000"/>
          <w:kern w:val="0"/>
        </w:rPr>
      </w:pPr>
      <w:r w:rsidRPr="00A33963">
        <w:rPr>
          <w:rFonts w:ascii="仿宋_GB2312" w:eastAsia="仿宋_GB2312" w:cs="DengXian-Regular" w:hint="eastAsia"/>
          <w:b w:val="0"/>
        </w:rPr>
        <w:t>本部门2018年度政府采购支出总额0万元，从采购类型来看，</w:t>
      </w:r>
      <w:r w:rsidRPr="00A33963">
        <w:rPr>
          <w:rFonts w:ascii="仿宋_GB2312" w:eastAsia="仿宋_GB2312" w:hAnsi="仿宋_GB2312" w:cs="仿宋_GB2312"/>
          <w:b w:val="0"/>
          <w:color w:val="000000"/>
          <w:kern w:val="0"/>
        </w:rPr>
        <w:t>政府采购货物支出</w:t>
      </w:r>
      <w:r w:rsidRPr="00A33963">
        <w:rPr>
          <w:rFonts w:ascii="仿宋_GB2312" w:eastAsia="仿宋_GB2312" w:hAnsi="仿宋_GB2312" w:cs="仿宋_GB2312" w:hint="eastAsia"/>
          <w:b w:val="0"/>
          <w:color w:val="000000"/>
          <w:kern w:val="0"/>
        </w:rPr>
        <w:t>0</w:t>
      </w:r>
      <w:r w:rsidRPr="00A33963">
        <w:rPr>
          <w:rFonts w:ascii="仿宋_GB2312" w:eastAsia="仿宋_GB2312" w:hAnsi="仿宋_GB2312" w:cs="仿宋_GB2312"/>
          <w:b w:val="0"/>
          <w:color w:val="000000"/>
          <w:kern w:val="0"/>
        </w:rPr>
        <w:t xml:space="preserve"> 万元、政府采购工程支出</w:t>
      </w:r>
      <w:r w:rsidRPr="00A33963">
        <w:rPr>
          <w:rFonts w:ascii="仿宋_GB2312" w:eastAsia="仿宋_GB2312" w:hAnsi="仿宋_GB2312" w:cs="仿宋_GB2312" w:hint="eastAsia"/>
          <w:b w:val="0"/>
          <w:color w:val="000000"/>
          <w:kern w:val="0"/>
        </w:rPr>
        <w:t>0</w:t>
      </w:r>
      <w:r w:rsidRPr="00A33963">
        <w:rPr>
          <w:rFonts w:ascii="仿宋_GB2312" w:eastAsia="仿宋_GB2312" w:hAnsi="仿宋_GB2312" w:cs="仿宋_GB2312"/>
          <w:b w:val="0"/>
          <w:color w:val="000000"/>
          <w:kern w:val="0"/>
        </w:rPr>
        <w:t xml:space="preserve">万元、政府采购服务支出 </w:t>
      </w:r>
      <w:r w:rsidRPr="00A33963">
        <w:rPr>
          <w:rFonts w:ascii="仿宋_GB2312" w:eastAsia="仿宋_GB2312" w:hAnsi="仿宋_GB2312" w:cs="仿宋_GB2312" w:hint="eastAsia"/>
          <w:b w:val="0"/>
          <w:color w:val="000000"/>
          <w:kern w:val="0"/>
        </w:rPr>
        <w:t>0</w:t>
      </w:r>
      <w:r w:rsidRPr="00A33963">
        <w:rPr>
          <w:rFonts w:ascii="仿宋_GB2312" w:eastAsia="仿宋_GB2312" w:hAnsi="仿宋_GB2312" w:cs="仿宋_GB2312"/>
          <w:b w:val="0"/>
          <w:color w:val="000000"/>
          <w:kern w:val="0"/>
        </w:rPr>
        <w:t>万元。授予中小企业合同金</w:t>
      </w:r>
      <w:r w:rsidRPr="00A33963">
        <w:rPr>
          <w:rFonts w:ascii="仿宋_GB2312" w:eastAsia="仿宋_GB2312" w:hAnsi="仿宋_GB2312" w:cs="仿宋_GB2312" w:hint="eastAsia"/>
          <w:b w:val="0"/>
          <w:color w:val="000000"/>
          <w:kern w:val="0"/>
        </w:rPr>
        <w:t>0</w:t>
      </w:r>
      <w:r w:rsidRPr="00A33963">
        <w:rPr>
          <w:rFonts w:ascii="仿宋_GB2312" w:eastAsia="仿宋_GB2312" w:hAnsi="仿宋_GB2312" w:cs="仿宋_GB2312"/>
          <w:b w:val="0"/>
          <w:color w:val="000000"/>
          <w:kern w:val="0"/>
        </w:rPr>
        <w:t>万元，占政府采购支出总额的</w:t>
      </w:r>
      <w:r w:rsidRPr="00A33963">
        <w:rPr>
          <w:rFonts w:ascii="仿宋_GB2312" w:eastAsia="仿宋_GB2312" w:hAnsi="仿宋_GB2312" w:cs="仿宋_GB2312" w:hint="eastAsia"/>
          <w:b w:val="0"/>
          <w:color w:val="000000"/>
          <w:kern w:val="0"/>
        </w:rPr>
        <w:t>0%，</w:t>
      </w:r>
      <w:r w:rsidRPr="00A33963">
        <w:rPr>
          <w:rFonts w:ascii="仿宋_GB2312" w:eastAsia="仿宋_GB2312" w:hAnsi="仿宋_GB2312" w:cs="仿宋_GB2312"/>
          <w:b w:val="0"/>
          <w:color w:val="000000"/>
          <w:kern w:val="0"/>
        </w:rPr>
        <w:t>其中授予小微企业合同金额</w:t>
      </w:r>
      <w:r w:rsidRPr="00A33963">
        <w:rPr>
          <w:rFonts w:ascii="仿宋_GB2312" w:eastAsia="仿宋_GB2312" w:hAnsi="仿宋_GB2312" w:cs="仿宋_GB2312" w:hint="eastAsia"/>
          <w:b w:val="0"/>
          <w:color w:val="000000"/>
          <w:kern w:val="0"/>
        </w:rPr>
        <w:t>0</w:t>
      </w:r>
      <w:r w:rsidRPr="00A33963">
        <w:rPr>
          <w:rFonts w:ascii="仿宋_GB2312" w:eastAsia="仿宋_GB2312" w:hAnsi="仿宋_GB2312" w:cs="仿宋_GB2312"/>
          <w:b w:val="0"/>
          <w:color w:val="000000"/>
          <w:kern w:val="0"/>
        </w:rPr>
        <w:t xml:space="preserve">万元，占政府采购支出总额的 </w:t>
      </w:r>
      <w:r w:rsidRPr="00A33963">
        <w:rPr>
          <w:rFonts w:ascii="仿宋_GB2312" w:eastAsia="仿宋_GB2312" w:hAnsi="仿宋_GB2312" w:cs="仿宋_GB2312" w:hint="eastAsia"/>
          <w:b w:val="0"/>
          <w:color w:val="000000"/>
          <w:kern w:val="0"/>
        </w:rPr>
        <w:t>0</w:t>
      </w:r>
      <w:r w:rsidRPr="00A33963">
        <w:rPr>
          <w:rFonts w:ascii="仿宋_GB2312" w:eastAsia="仿宋_GB2312" w:hAnsi="仿宋_GB2312" w:cs="仿宋_GB2312"/>
          <w:b w:val="0"/>
          <w:color w:val="000000"/>
          <w:kern w:val="0"/>
        </w:rPr>
        <w:t>%。</w:t>
      </w:r>
    </w:p>
    <w:p w:rsidR="00BB187C" w:rsidRDefault="00104937" w:rsidP="00A33963">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t>（三）国有资产占用情况</w:t>
      </w:r>
    </w:p>
    <w:p w:rsidR="00FA3296" w:rsidRDefault="00FA3296" w:rsidP="006F2933">
      <w:pPr>
        <w:adjustRightInd w:val="0"/>
        <w:snapToGrid w:val="0"/>
        <w:spacing w:after="0" w:line="580" w:lineRule="exact"/>
        <w:ind w:firstLineChars="250" w:firstLine="800"/>
        <w:rPr>
          <w:rFonts w:ascii="仿宋_GB2312" w:eastAsia="仿宋_GB2312" w:cs="DengXian-Regular"/>
          <w:sz w:val="32"/>
          <w:szCs w:val="32"/>
        </w:rPr>
      </w:pPr>
      <w:r>
        <w:rPr>
          <w:rFonts w:ascii="仿宋_GB2312" w:eastAsia="仿宋_GB2312" w:cs="DengXian-Regular" w:hint="eastAsia"/>
          <w:sz w:val="32"/>
          <w:szCs w:val="32"/>
        </w:rPr>
        <w:t>截至2018年12月31日，本部门共有车辆</w:t>
      </w:r>
      <w:r w:rsidR="00383232">
        <w:rPr>
          <w:rFonts w:ascii="仿宋_GB2312" w:eastAsia="仿宋_GB2312" w:cs="DengXian-Regular" w:hint="eastAsia"/>
          <w:sz w:val="32"/>
          <w:szCs w:val="32"/>
        </w:rPr>
        <w:t>1</w:t>
      </w:r>
      <w:r w:rsidR="00E63CDC">
        <w:rPr>
          <w:rFonts w:ascii="仿宋_GB2312" w:eastAsia="仿宋_GB2312" w:cs="DengXian-Regular" w:hint="eastAsia"/>
          <w:sz w:val="32"/>
          <w:szCs w:val="32"/>
        </w:rPr>
        <w:t>辆，较上年度无增减变化。</w:t>
      </w:r>
      <w:r w:rsidR="005668D0">
        <w:rPr>
          <w:rFonts w:ascii="仿宋_GB2312" w:eastAsia="仿宋_GB2312" w:cs="DengXian-Regular" w:hint="eastAsia"/>
          <w:sz w:val="32"/>
          <w:szCs w:val="32"/>
        </w:rPr>
        <w:t>其中</w:t>
      </w:r>
      <w:r w:rsidR="00E63CDC">
        <w:rPr>
          <w:rFonts w:ascii="仿宋_GB2312" w:eastAsia="仿宋_GB2312" w:cs="DengXian-Regular" w:hint="eastAsia"/>
          <w:sz w:val="32"/>
          <w:szCs w:val="32"/>
        </w:rPr>
        <w:t>，副部（省）级及以上领导用车0辆，主要领导干部用车0辆，机要通信用车1辆，应急保障用车0辆，执法执勤用车0辆，特种专业技术用车0辆，离退休干部用车0辆，其他用车0辆</w:t>
      </w:r>
      <w:r>
        <w:rPr>
          <w:rFonts w:ascii="仿宋_GB2312" w:eastAsia="仿宋_GB2312" w:cs="DengXian-Regular" w:hint="eastAsia"/>
          <w:sz w:val="32"/>
          <w:szCs w:val="32"/>
        </w:rPr>
        <w:t>。单位价值</w:t>
      </w:r>
      <w:r>
        <w:rPr>
          <w:rFonts w:ascii="仿宋_GB2312" w:eastAsia="仿宋_GB2312" w:hAnsi="TimesNewRomanPSMT" w:cs="TimesNewRomanPSMT" w:hint="eastAsia"/>
          <w:sz w:val="32"/>
          <w:szCs w:val="32"/>
        </w:rPr>
        <w:t>50</w:t>
      </w:r>
      <w:r>
        <w:rPr>
          <w:rFonts w:ascii="仿宋_GB2312" w:eastAsia="仿宋_GB2312" w:cs="DengXian-Regular" w:hint="eastAsia"/>
          <w:sz w:val="32"/>
          <w:szCs w:val="32"/>
        </w:rPr>
        <w:t>万元以上通用设备0台，较上年度无增减变化，单位价值</w:t>
      </w:r>
      <w:r>
        <w:rPr>
          <w:rFonts w:ascii="仿宋_GB2312" w:eastAsia="仿宋_GB2312" w:hAnsi="TimesNewRomanPSMT" w:cs="TimesNewRomanPSMT" w:hint="eastAsia"/>
          <w:sz w:val="32"/>
          <w:szCs w:val="32"/>
        </w:rPr>
        <w:t>100</w:t>
      </w:r>
      <w:r>
        <w:rPr>
          <w:rFonts w:ascii="仿宋_GB2312" w:eastAsia="仿宋_GB2312" w:cs="DengXian-Regular" w:hint="eastAsia"/>
          <w:sz w:val="32"/>
          <w:szCs w:val="32"/>
        </w:rPr>
        <w:t>万元以上专用设备0台，较上年度无增减变化。</w:t>
      </w:r>
    </w:p>
    <w:p w:rsidR="00BB187C" w:rsidRDefault="00104937" w:rsidP="001D691D">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lastRenderedPageBreak/>
        <w:t>（四）其他需要说明的情况</w:t>
      </w:r>
    </w:p>
    <w:p w:rsidR="00BB187C" w:rsidRDefault="00104937" w:rsidP="006F2933">
      <w:pPr>
        <w:adjustRightInd w:val="0"/>
        <w:snapToGrid w:val="0"/>
        <w:spacing w:after="0" w:line="580" w:lineRule="exact"/>
        <w:ind w:firstLineChars="250" w:firstLine="800"/>
        <w:rPr>
          <w:rFonts w:ascii="仿宋_GB2312" w:eastAsia="仿宋_GB2312" w:cs="DengXian-Regular"/>
          <w:sz w:val="32"/>
          <w:szCs w:val="32"/>
        </w:rPr>
      </w:pPr>
      <w:r>
        <w:rPr>
          <w:rFonts w:ascii="仿宋_GB2312" w:eastAsia="仿宋_GB2312" w:cs="DengXian-Regular" w:hint="eastAsia"/>
          <w:sz w:val="32"/>
          <w:szCs w:val="32"/>
        </w:rPr>
        <w:t>1、由于决算公开表格中金额数值应当保留两位小数，公开数据为四舍五入计算结果，个别数据合计项与分项之和存在小数点后差额，特此说明。</w:t>
      </w:r>
    </w:p>
    <w:p w:rsidR="00BB187C" w:rsidRDefault="00BB187C">
      <w:pPr>
        <w:widowControl/>
        <w:spacing w:after="0" w:line="580" w:lineRule="exact"/>
        <w:ind w:firstLineChars="200" w:firstLine="883"/>
        <w:jc w:val="left"/>
        <w:rPr>
          <w:rFonts w:asciiTheme="majorEastAsia" w:eastAsiaTheme="majorEastAsia" w:hAnsiTheme="majorEastAsia" w:cs="MS-UIGothic,Bold"/>
          <w:b/>
          <w:bCs/>
          <w:kern w:val="0"/>
          <w:sz w:val="44"/>
          <w:szCs w:val="44"/>
        </w:rPr>
        <w:sectPr w:rsidR="00BB187C">
          <w:pgSz w:w="11906" w:h="16838"/>
          <w:pgMar w:top="2098" w:right="1474" w:bottom="1984" w:left="1588" w:header="851" w:footer="992" w:gutter="0"/>
          <w:cols w:space="0"/>
          <w:docGrid w:type="lines" w:linePitch="312"/>
        </w:sectPr>
      </w:pPr>
    </w:p>
    <w:p w:rsidR="00BB187C" w:rsidRDefault="00BB187C">
      <w:pPr>
        <w:widowControl/>
        <w:spacing w:line="1200" w:lineRule="exact"/>
        <w:jc w:val="center"/>
        <w:rPr>
          <w:rFonts w:asciiTheme="minorEastAsia" w:eastAsiaTheme="minorEastAsia" w:hAnsi="宋体"/>
          <w:color w:val="000000" w:themeColor="text1"/>
          <w:sz w:val="96"/>
          <w:szCs w:val="96"/>
        </w:rPr>
      </w:pPr>
    </w:p>
    <w:p w:rsidR="00BB187C" w:rsidRDefault="00BB187C">
      <w:pPr>
        <w:widowControl/>
        <w:spacing w:line="1200" w:lineRule="exact"/>
        <w:jc w:val="center"/>
        <w:rPr>
          <w:rFonts w:asciiTheme="minorEastAsia" w:eastAsiaTheme="minorEastAsia" w:hAnsi="宋体"/>
          <w:color w:val="000000" w:themeColor="text1"/>
          <w:sz w:val="96"/>
          <w:szCs w:val="96"/>
        </w:rPr>
      </w:pPr>
    </w:p>
    <w:p w:rsidR="00BB187C" w:rsidRDefault="00BB187C">
      <w:pPr>
        <w:widowControl/>
        <w:spacing w:line="1200" w:lineRule="exact"/>
        <w:jc w:val="center"/>
        <w:rPr>
          <w:rFonts w:asciiTheme="minorEastAsia" w:eastAsiaTheme="minorEastAsia" w:hAnsi="宋体"/>
          <w:color w:val="000000" w:themeColor="text1"/>
          <w:sz w:val="96"/>
          <w:szCs w:val="96"/>
        </w:rPr>
      </w:pPr>
    </w:p>
    <w:p w:rsidR="00BB187C" w:rsidRDefault="00104937">
      <w:pPr>
        <w:widowControl/>
        <w:spacing w:line="1200" w:lineRule="exact"/>
        <w:jc w:val="center"/>
        <w:rPr>
          <w:rFonts w:asciiTheme="minorEastAsia" w:eastAsiaTheme="minorEastAsia" w:hAnsi="宋体"/>
          <w:color w:val="000000" w:themeColor="text1"/>
          <w:sz w:val="96"/>
          <w:szCs w:val="96"/>
        </w:rPr>
      </w:pPr>
      <w:r>
        <w:rPr>
          <w:rFonts w:asciiTheme="minorEastAsia" w:eastAsiaTheme="minorEastAsia" w:hAnsi="宋体" w:hint="eastAsia"/>
          <w:color w:val="000000" w:themeColor="text1"/>
          <w:sz w:val="96"/>
          <w:szCs w:val="96"/>
        </w:rPr>
        <w:t>第四部分</w:t>
      </w:r>
    </w:p>
    <w:p w:rsidR="00BB187C" w:rsidRDefault="00104937">
      <w:pPr>
        <w:widowControl/>
        <w:spacing w:line="1200" w:lineRule="exact"/>
        <w:jc w:val="center"/>
        <w:rPr>
          <w:color w:val="000000" w:themeColor="text1"/>
          <w:sz w:val="96"/>
          <w:szCs w:val="96"/>
        </w:rPr>
      </w:pPr>
      <w:r>
        <w:rPr>
          <w:rFonts w:asciiTheme="minorEastAsia" w:eastAsiaTheme="minorEastAsia" w:hAnsi="宋体" w:hint="eastAsia"/>
          <w:color w:val="000000" w:themeColor="text1"/>
          <w:sz w:val="96"/>
          <w:szCs w:val="96"/>
        </w:rPr>
        <w:t>名词解释</w:t>
      </w:r>
    </w:p>
    <w:p w:rsidR="00BB187C" w:rsidRDefault="00BB187C">
      <w:pPr>
        <w:rPr>
          <w:rFonts w:ascii="宋体" w:hAnsi="宋体" w:cs="ArialUnicodeMS"/>
          <w:color w:val="000000"/>
          <w:kern w:val="0"/>
        </w:rPr>
        <w:sectPr w:rsidR="00BB187C">
          <w:pgSz w:w="11906" w:h="16838"/>
          <w:pgMar w:top="2098" w:right="1474" w:bottom="1984" w:left="1588" w:header="851" w:footer="992" w:gutter="0"/>
          <w:cols w:space="0"/>
          <w:docGrid w:type="lines" w:linePitch="312"/>
        </w:sectPr>
      </w:pPr>
    </w:p>
    <w:p w:rsidR="00BB187C" w:rsidRDefault="00104937">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lastRenderedPageBreak/>
        <w:t>（一）财政拨款收入：</w:t>
      </w:r>
      <w:r>
        <w:rPr>
          <w:rFonts w:ascii="仿宋_GB2312" w:eastAsia="仿宋_GB2312" w:hAnsiTheme="majorEastAsia" w:hint="eastAsia"/>
          <w:color w:val="000000"/>
          <w:kern w:val="0"/>
          <w:sz w:val="32"/>
          <w:szCs w:val="32"/>
        </w:rPr>
        <w:t>本年度从本级财政部门取得的财政拨款，包括一般公共预算财政拨款和政府性基金预算财政拨款。</w:t>
      </w:r>
    </w:p>
    <w:p w:rsidR="00BB187C" w:rsidRDefault="00104937">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（二）事业收入：</w:t>
      </w:r>
      <w:r>
        <w:rPr>
          <w:rFonts w:ascii="仿宋_GB2312" w:eastAsia="仿宋_GB2312" w:hAnsiTheme="majorEastAsia" w:hint="eastAsia"/>
          <w:color w:val="000000"/>
          <w:kern w:val="0"/>
          <w:sz w:val="32"/>
          <w:szCs w:val="32"/>
        </w:rPr>
        <w:t>指事业单位开展专业业务活动及辅助活动所取得的收入。</w:t>
      </w:r>
    </w:p>
    <w:p w:rsidR="00BB187C" w:rsidRDefault="00104937">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（三）其他收入：</w:t>
      </w:r>
      <w:r>
        <w:rPr>
          <w:rFonts w:ascii="仿宋_GB2312" w:eastAsia="仿宋_GB2312" w:hAnsiTheme="majorEastAsia" w:hint="eastAsia"/>
          <w:color w:val="000000"/>
          <w:kern w:val="0"/>
          <w:sz w:val="32"/>
          <w:szCs w:val="32"/>
        </w:rPr>
        <w:t>指除上述“财政拨款收入”“事业收入”“经营收入”等以外的收入。</w:t>
      </w:r>
    </w:p>
    <w:p w:rsidR="00BB187C" w:rsidRDefault="00104937">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（四）用事业基金弥补收支差额：</w:t>
      </w:r>
      <w:r>
        <w:rPr>
          <w:rFonts w:ascii="仿宋_GB2312" w:eastAsia="仿宋_GB2312" w:hAnsiTheme="majorEastAsia"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BB187C" w:rsidRDefault="00104937">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（五）年初结转和结余：</w:t>
      </w:r>
      <w:r>
        <w:rPr>
          <w:rFonts w:ascii="仿宋_GB2312" w:eastAsia="仿宋_GB2312" w:hAnsiTheme="majorEastAsia" w:hint="eastAsia"/>
          <w:color w:val="000000"/>
          <w:kern w:val="0"/>
          <w:sz w:val="32"/>
          <w:szCs w:val="32"/>
        </w:rPr>
        <w:t>指以前年度尚未完成、结转到本年仍按原规定用途继续使用的资金，或项目已完成等产生的结余资金。</w:t>
      </w:r>
    </w:p>
    <w:p w:rsidR="00BB187C" w:rsidRDefault="00104937">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（六）结余分配：</w:t>
      </w:r>
      <w:r>
        <w:rPr>
          <w:rFonts w:ascii="仿宋_GB2312" w:eastAsia="仿宋_GB2312" w:hAnsiTheme="majorEastAsia" w:hint="eastAsia"/>
          <w:color w:val="000000"/>
          <w:kern w:val="0"/>
          <w:sz w:val="32"/>
          <w:szCs w:val="32"/>
        </w:rPr>
        <w:t>指事业单位按照事业单位会计制度的规定从非财政补助结余中分配的事业基金和职工福利基金等。</w:t>
      </w:r>
    </w:p>
    <w:p w:rsidR="00BB187C" w:rsidRDefault="00104937">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（七）年末结转和结余：</w:t>
      </w:r>
      <w:r>
        <w:rPr>
          <w:rFonts w:ascii="仿宋_GB2312" w:eastAsia="仿宋_GB2312" w:hAnsiTheme="majorEastAsia" w:hint="eastAsia"/>
          <w:color w:val="000000"/>
          <w:kern w:val="0"/>
          <w:sz w:val="32"/>
          <w:szCs w:val="32"/>
        </w:rPr>
        <w:t>指单位按有关规定结转到下年或以后年度继续使用的资金，或项目已完成等产生的结余资金。</w:t>
      </w:r>
    </w:p>
    <w:p w:rsidR="00BB187C" w:rsidRDefault="00104937">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（八）基本支出：</w:t>
      </w:r>
      <w:r>
        <w:rPr>
          <w:rFonts w:ascii="仿宋_GB2312" w:eastAsia="仿宋_GB2312" w:hAnsiTheme="majorEastAsia" w:hint="eastAsia"/>
          <w:color w:val="000000"/>
          <w:kern w:val="0"/>
          <w:sz w:val="32"/>
          <w:szCs w:val="32"/>
        </w:rPr>
        <w:t>填列单位为保障机构正常运转、完成日常工作任务而发生的各项支出。</w:t>
      </w:r>
    </w:p>
    <w:p w:rsidR="00BB187C" w:rsidRDefault="00104937">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（九）项目支出：</w:t>
      </w:r>
      <w:r>
        <w:rPr>
          <w:rFonts w:ascii="仿宋_GB2312" w:eastAsia="仿宋_GB2312" w:hAnsiTheme="majorEastAsia" w:hint="eastAsia"/>
          <w:color w:val="000000"/>
          <w:kern w:val="0"/>
          <w:sz w:val="32"/>
          <w:szCs w:val="32"/>
        </w:rPr>
        <w:t>填列单位为完成特定的行政工作任务或事业发展目标，在基本支出之外发生的各项支出</w:t>
      </w:r>
    </w:p>
    <w:p w:rsidR="00BB187C" w:rsidRDefault="00104937">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lastRenderedPageBreak/>
        <w:t>（十）资本性支出（基本建设）：</w:t>
      </w:r>
      <w:r>
        <w:rPr>
          <w:rFonts w:ascii="仿宋_GB2312" w:eastAsia="仿宋_GB2312" w:hAnsiTheme="majorEastAsia" w:hint="eastAsia"/>
          <w:color w:val="000000"/>
          <w:kern w:val="0"/>
          <w:sz w:val="32"/>
          <w:szCs w:val="32"/>
        </w:rPr>
        <w:t>填列切块由发展改革部门安排的基本建设支出，对企业补助支出不在此科目反映。</w:t>
      </w:r>
    </w:p>
    <w:p w:rsidR="00BB187C" w:rsidRDefault="00104937">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（十一）资本性支出：</w:t>
      </w:r>
      <w:r>
        <w:rPr>
          <w:rFonts w:ascii="仿宋_GB2312" w:eastAsia="仿宋_GB2312" w:hAnsiTheme="majorEastAsia" w:hint="eastAsia"/>
          <w:color w:val="000000"/>
          <w:kern w:val="0"/>
          <w:sz w:val="32"/>
          <w:szCs w:val="32"/>
        </w:rPr>
        <w:t>填列各单位安排的资本性支出。切块由发展改革部门安排的基本建设支出不在此科目反映。</w:t>
      </w:r>
    </w:p>
    <w:p w:rsidR="00BB187C" w:rsidRDefault="00104937">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（十二）“三公”经费：</w:t>
      </w:r>
      <w:r>
        <w:rPr>
          <w:rFonts w:ascii="仿宋_GB2312" w:eastAsia="仿宋_GB2312" w:hAnsiTheme="majorEastAsia"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BB187C" w:rsidRDefault="00104937">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（十三）其他交通费用：</w:t>
      </w:r>
      <w:r>
        <w:rPr>
          <w:rFonts w:ascii="仿宋_GB2312" w:eastAsia="仿宋_GB2312" w:hAnsiTheme="majorEastAsia" w:hint="eastAsia"/>
          <w:color w:val="000000"/>
          <w:kern w:val="0"/>
          <w:sz w:val="32"/>
          <w:szCs w:val="32"/>
        </w:rPr>
        <w:t>填列单位除公务用车运行维护费以外的其他交通费用。如公务交通补贴、租车费用、出租车费用、飞机、船舶等的燃料费、维修费、保险费等。</w:t>
      </w:r>
    </w:p>
    <w:p w:rsidR="00BB187C" w:rsidRDefault="00104937">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（十四）公务用车购置：</w:t>
      </w:r>
      <w:r>
        <w:rPr>
          <w:rFonts w:ascii="仿宋_GB2312" w:eastAsia="仿宋_GB2312" w:hAnsiTheme="majorEastAsia" w:hint="eastAsia"/>
          <w:color w:val="000000"/>
          <w:kern w:val="0"/>
          <w:sz w:val="32"/>
          <w:szCs w:val="32"/>
        </w:rPr>
        <w:t>填列单位公务用车购置支出（含车辆购置税、牌照费）。</w:t>
      </w:r>
    </w:p>
    <w:p w:rsidR="00BB187C" w:rsidRDefault="00104937">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（十五）其他交通工具购置：</w:t>
      </w:r>
      <w:r>
        <w:rPr>
          <w:rFonts w:ascii="仿宋_GB2312" w:eastAsia="仿宋_GB2312" w:hAnsiTheme="majorEastAsia" w:hint="eastAsia"/>
          <w:color w:val="000000"/>
          <w:kern w:val="0"/>
          <w:sz w:val="32"/>
          <w:szCs w:val="32"/>
        </w:rPr>
        <w:t>填列单位除公务用车外的其他各类交通工具（如船舶、飞机）购置支出（含车辆购置税、牌照费）。</w:t>
      </w:r>
    </w:p>
    <w:p w:rsidR="00BB187C" w:rsidRDefault="00104937">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（十六）机关运行经费：</w:t>
      </w:r>
      <w:r>
        <w:rPr>
          <w:rFonts w:ascii="仿宋_GB2312" w:eastAsia="仿宋_GB2312" w:hAnsiTheme="majorEastAsia" w:hint="eastAsia"/>
          <w:color w:val="000000"/>
          <w:kern w:val="0"/>
          <w:sz w:val="32"/>
          <w:szCs w:val="32"/>
        </w:rPr>
        <w:t>指为保障行政单位（包括参照公务员法管理的事业单位）运行用于购买货物和服务的各项资金，包</w:t>
      </w:r>
      <w:r>
        <w:rPr>
          <w:rFonts w:ascii="仿宋_GB2312" w:eastAsia="仿宋_GB2312" w:hAnsiTheme="majorEastAsia" w:hint="eastAsia"/>
          <w:color w:val="000000"/>
          <w:kern w:val="0"/>
          <w:sz w:val="32"/>
          <w:szCs w:val="32"/>
        </w:rPr>
        <w:lastRenderedPageBreak/>
        <w:t>括办公及印刷费、邮电费、差旅费、会议费、福利费、日常维修费、专用材料以及一般设备购置费、办公用房水电费、办公用房取暖费、办公用房物业管理费、公务用车运行维护费以及其他费用。</w:t>
      </w:r>
    </w:p>
    <w:p w:rsidR="00BB187C" w:rsidRDefault="00104937">
      <w:pPr>
        <w:widowControl/>
        <w:spacing w:after="0" w:line="560" w:lineRule="exact"/>
        <w:ind w:firstLineChars="200" w:firstLine="643"/>
        <w:rPr>
          <w:rFonts w:ascii="仿宋_GB2312" w:eastAsia="仿宋_GB2312" w:hAnsiTheme="minorHAnsi" w:cs="ArialUnicodeMS"/>
          <w:kern w:val="0"/>
          <w:sz w:val="32"/>
          <w:szCs w:val="32"/>
        </w:rPr>
      </w:pPr>
      <w:r>
        <w:rPr>
          <w:rFonts w:ascii="仿宋_GB2312" w:eastAsia="仿宋_GB2312" w:hAnsiTheme="majorEastAsia" w:hint="eastAsia"/>
          <w:b/>
          <w:bCs/>
          <w:color w:val="000000"/>
          <w:kern w:val="0"/>
          <w:sz w:val="32"/>
          <w:szCs w:val="32"/>
        </w:rPr>
        <w:t>（十七）经费形式:</w:t>
      </w:r>
      <w:r>
        <w:rPr>
          <w:rFonts w:ascii="仿宋_GB2312" w:eastAsia="仿宋_GB2312" w:hAnsiTheme="majorEastAsia" w:hint="eastAsia"/>
          <w:color w:val="000000"/>
          <w:kern w:val="0"/>
          <w:sz w:val="32"/>
          <w:szCs w:val="32"/>
        </w:rPr>
        <w:t>按照经费来源，</w:t>
      </w:r>
      <w:r>
        <w:rPr>
          <w:rFonts w:ascii="仿宋_GB2312" w:eastAsia="仿宋_GB2312" w:hAnsiTheme="minorHAnsi" w:cs="ArialUnicodeMS" w:hint="eastAsia"/>
          <w:kern w:val="0"/>
          <w:sz w:val="32"/>
          <w:szCs w:val="32"/>
        </w:rPr>
        <w:t>可分为财政拨款、财政性资金基本保证、财政性资金定额或定项补助、财政性资金零补助四类。</w:t>
      </w:r>
    </w:p>
    <w:p w:rsidR="00BB187C" w:rsidRDefault="00BB187C">
      <w:pPr>
        <w:widowControl/>
        <w:spacing w:after="0" w:line="560" w:lineRule="exact"/>
        <w:ind w:firstLineChars="200" w:firstLine="640"/>
        <w:rPr>
          <w:rFonts w:ascii="仿宋_GB2312" w:eastAsia="仿宋_GB2312" w:hAnsiTheme="minorHAnsi" w:cs="ArialUnicodeMS"/>
          <w:kern w:val="0"/>
          <w:sz w:val="32"/>
          <w:szCs w:val="32"/>
        </w:rPr>
      </w:pPr>
    </w:p>
    <w:p w:rsidR="00BB187C" w:rsidRDefault="00BB187C">
      <w:pPr>
        <w:widowControl/>
        <w:spacing w:after="0" w:line="560" w:lineRule="exact"/>
        <w:ind w:firstLineChars="200" w:firstLine="640"/>
        <w:rPr>
          <w:rFonts w:ascii="仿宋_GB2312" w:eastAsia="仿宋_GB2312" w:hAnsiTheme="minorHAnsi" w:cs="ArialUnicodeMS"/>
          <w:kern w:val="0"/>
          <w:sz w:val="32"/>
          <w:szCs w:val="32"/>
        </w:rPr>
      </w:pPr>
    </w:p>
    <w:p w:rsidR="00BB187C" w:rsidRDefault="00BB187C">
      <w:pPr>
        <w:widowControl/>
        <w:spacing w:after="0" w:line="560" w:lineRule="exact"/>
        <w:ind w:firstLineChars="200" w:firstLine="640"/>
        <w:rPr>
          <w:rFonts w:ascii="仿宋_GB2312" w:eastAsia="仿宋_GB2312" w:hAnsiTheme="minorHAnsi" w:cs="ArialUnicodeMS"/>
          <w:kern w:val="0"/>
          <w:sz w:val="32"/>
          <w:szCs w:val="32"/>
        </w:rPr>
      </w:pPr>
    </w:p>
    <w:p w:rsidR="00BB187C" w:rsidRDefault="00BB187C">
      <w:pPr>
        <w:widowControl/>
        <w:spacing w:after="0" w:line="560" w:lineRule="exact"/>
        <w:ind w:firstLineChars="200" w:firstLine="640"/>
        <w:rPr>
          <w:rFonts w:ascii="仿宋_GB2312" w:eastAsia="仿宋_GB2312" w:hAnsiTheme="minorHAnsi" w:cs="ArialUnicodeMS"/>
          <w:kern w:val="0"/>
          <w:sz w:val="32"/>
          <w:szCs w:val="32"/>
        </w:rPr>
      </w:pPr>
    </w:p>
    <w:p w:rsidR="00BB187C" w:rsidRDefault="00BB187C">
      <w:pPr>
        <w:widowControl/>
        <w:spacing w:after="0" w:line="560" w:lineRule="exact"/>
        <w:ind w:firstLineChars="200" w:firstLine="640"/>
        <w:rPr>
          <w:rFonts w:ascii="仿宋_GB2312" w:eastAsia="仿宋_GB2312" w:hAnsiTheme="minorHAnsi" w:cs="ArialUnicodeMS"/>
          <w:kern w:val="0"/>
          <w:sz w:val="32"/>
          <w:szCs w:val="32"/>
        </w:rPr>
      </w:pPr>
    </w:p>
    <w:p w:rsidR="00BB187C" w:rsidRDefault="00BB187C">
      <w:pPr>
        <w:widowControl/>
        <w:spacing w:after="0" w:line="560" w:lineRule="exact"/>
        <w:ind w:firstLineChars="200" w:firstLine="640"/>
        <w:rPr>
          <w:rFonts w:ascii="仿宋_GB2312" w:eastAsia="仿宋_GB2312" w:hAnsiTheme="minorHAnsi" w:cs="ArialUnicodeMS"/>
          <w:kern w:val="0"/>
          <w:sz w:val="32"/>
          <w:szCs w:val="32"/>
        </w:rPr>
      </w:pPr>
    </w:p>
    <w:p w:rsidR="00BB187C" w:rsidRDefault="00BB187C">
      <w:pPr>
        <w:widowControl/>
        <w:spacing w:after="0" w:line="560" w:lineRule="exact"/>
        <w:ind w:firstLineChars="200" w:firstLine="640"/>
        <w:rPr>
          <w:rFonts w:ascii="仿宋_GB2312" w:eastAsia="仿宋_GB2312" w:hAnsiTheme="minorHAnsi" w:cs="ArialUnicodeMS"/>
          <w:kern w:val="0"/>
          <w:sz w:val="32"/>
          <w:szCs w:val="32"/>
        </w:rPr>
      </w:pPr>
    </w:p>
    <w:p w:rsidR="00BB187C" w:rsidRDefault="00BB187C">
      <w:pPr>
        <w:widowControl/>
        <w:spacing w:after="0" w:line="560" w:lineRule="exact"/>
        <w:ind w:firstLineChars="200" w:firstLine="640"/>
        <w:rPr>
          <w:rFonts w:ascii="仿宋_GB2312" w:eastAsia="仿宋_GB2312" w:hAnsiTheme="minorHAnsi" w:cs="ArialUnicodeMS"/>
          <w:kern w:val="0"/>
          <w:sz w:val="32"/>
          <w:szCs w:val="32"/>
        </w:rPr>
      </w:pPr>
    </w:p>
    <w:p w:rsidR="00BB187C" w:rsidRDefault="00BB187C">
      <w:pPr>
        <w:widowControl/>
        <w:spacing w:after="0" w:line="560" w:lineRule="exact"/>
        <w:ind w:firstLineChars="200" w:firstLine="640"/>
        <w:rPr>
          <w:rFonts w:ascii="仿宋_GB2312" w:eastAsia="仿宋_GB2312" w:hAnsiTheme="minorHAnsi" w:cs="ArialUnicodeMS"/>
          <w:kern w:val="0"/>
          <w:sz w:val="32"/>
          <w:szCs w:val="32"/>
        </w:rPr>
      </w:pPr>
    </w:p>
    <w:p w:rsidR="00BB187C" w:rsidRDefault="00BB187C">
      <w:pPr>
        <w:widowControl/>
        <w:spacing w:after="0" w:line="560" w:lineRule="exact"/>
        <w:rPr>
          <w:rFonts w:ascii="仿宋_GB2312" w:eastAsia="仿宋_GB2312" w:hAnsiTheme="minorHAnsi" w:cs="ArialUnicodeMS"/>
          <w:kern w:val="0"/>
          <w:sz w:val="32"/>
          <w:szCs w:val="32"/>
        </w:rPr>
      </w:pPr>
    </w:p>
    <w:sectPr w:rsidR="00BB187C" w:rsidSect="00BB187C">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AA3" w:rsidRDefault="00544AA3" w:rsidP="001D691D">
      <w:pPr>
        <w:spacing w:after="0" w:line="240" w:lineRule="auto"/>
      </w:pPr>
      <w:r>
        <w:separator/>
      </w:r>
    </w:p>
  </w:endnote>
  <w:endnote w:type="continuationSeparator" w:id="1">
    <w:p w:rsidR="00544AA3" w:rsidRDefault="00544AA3" w:rsidP="001D69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2D40BDCE-9183-4BE1-A645-63EAE4AE6B97}"/>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embedBold r:id="rId2" w:subsetted="1" w:fontKey="{A91E7896-271E-44BD-BFC1-018B40CDF269}"/>
  </w:font>
  <w:font w:name="仿宋_GB2312">
    <w:altName w:val="仿宋"/>
    <w:charset w:val="00"/>
    <w:family w:val="auto"/>
    <w:pitch w:val="default"/>
    <w:sig w:usb0="00000000" w:usb1="00000000" w:usb2="00000000" w:usb3="00000000" w:csb0="00040001" w:csb1="00000000"/>
  </w:font>
  <w:font w:name="ArialUnicodeMS">
    <w:altName w:val="Malgun Gothic"/>
    <w:charset w:val="81"/>
    <w:family w:val="auto"/>
    <w:pitch w:val="default"/>
    <w:sig w:usb0="00000000" w:usb1="00000000" w:usb2="00000010" w:usb3="00000000" w:csb0="00080001" w:csb1="00000000"/>
  </w:font>
  <w:font w:name="MS-UIGothic,Bold">
    <w:altName w:val="Malgun Gothic"/>
    <w:charset w:val="81"/>
    <w:family w:val="auto"/>
    <w:pitch w:val="default"/>
    <w:sig w:usb0="00000000" w:usb1="00000000" w:usb2="00000010" w:usb3="00000000" w:csb0="00080000" w:csb1="00000000"/>
  </w:font>
  <w:font w:name="DengXian-Regular">
    <w:altName w:val="宋体"/>
    <w:charset w:val="86"/>
    <w:family w:val="auto"/>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embedRegular r:id="rId3" w:subsetted="1" w:fontKey="{F9AE72B0-6E1C-4638-BC2D-1EA1E48C1C76}"/>
  </w:font>
  <w:font w:name="楷体_GB2312">
    <w:altName w:val="楷体"/>
    <w:charset w:val="86"/>
    <w:family w:val="auto"/>
    <w:pitch w:val="default"/>
    <w:sig w:usb0="00000000" w:usb1="00000000" w:usb2="00000000" w:usb3="00000000" w:csb0="00040000" w:csb1="00000000"/>
    <w:embedBold r:id="rId4" w:subsetted="1" w:fontKey="{C0576034-7316-4368-B699-26659C4A8F02}"/>
  </w:font>
  <w:font w:name="DengXian-Bold">
    <w:altName w:val="宋体"/>
    <w:charset w:val="86"/>
    <w:family w:val="auto"/>
    <w:pitch w:val="default"/>
    <w:sig w:usb0="00000000" w:usb1="00000000" w:usb2="00000010" w:usb3="00000000" w:csb0="00040001" w:csb1="00000000"/>
  </w:font>
  <w:font w:name="Arial">
    <w:panose1 w:val="020B0604020202020204"/>
    <w:charset w:val="00"/>
    <w:family w:val="swiss"/>
    <w:pitch w:val="variable"/>
    <w:sig w:usb0="E0002AFF" w:usb1="C0007843" w:usb2="00000009" w:usb3="00000000" w:csb0="000001FF" w:csb1="00000000"/>
  </w:font>
  <w:font w:name="TimesNewRomanPSMT">
    <w:altName w:val="Arial"/>
    <w:charset w:val="00"/>
    <w:family w:val="swiss"/>
    <w:pitch w:val="default"/>
    <w:sig w:usb0="00000000"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AA3" w:rsidRDefault="00544AA3" w:rsidP="001D691D">
      <w:pPr>
        <w:spacing w:after="0" w:line="240" w:lineRule="auto"/>
      </w:pPr>
      <w:r>
        <w:separator/>
      </w:r>
    </w:p>
  </w:footnote>
  <w:footnote w:type="continuationSeparator" w:id="1">
    <w:p w:rsidR="00544AA3" w:rsidRDefault="00544AA3" w:rsidP="001D69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3854B2"/>
    <w:multiLevelType w:val="singleLevel"/>
    <w:tmpl w:val="AE3854B2"/>
    <w:lvl w:ilvl="0">
      <w:start w:val="6"/>
      <w:numFmt w:val="chineseCounting"/>
      <w:suff w:val="nothing"/>
      <w:lvlText w:val="%1、"/>
      <w:lvlJc w:val="left"/>
      <w:rPr>
        <w:rFonts w:hint="eastAsia"/>
      </w:rPr>
    </w:lvl>
  </w:abstractNum>
  <w:abstractNum w:abstractNumId="1">
    <w:nsid w:val="45DB9A87"/>
    <w:multiLevelType w:val="singleLevel"/>
    <w:tmpl w:val="45DB9A87"/>
    <w:lvl w:ilvl="0">
      <w:start w:val="3"/>
      <w:numFmt w:val="chineseCounting"/>
      <w:suff w:val="nothing"/>
      <w:lvlText w:val="（%1）"/>
      <w:lvlJc w:val="left"/>
      <w:rPr>
        <w:rFonts w:hint="eastAsia"/>
      </w:rPr>
    </w:lvl>
  </w:abstractNum>
  <w:abstractNum w:abstractNumId="2">
    <w:nsid w:val="699C3DE8"/>
    <w:multiLevelType w:val="singleLevel"/>
    <w:tmpl w:val="699C3DE8"/>
    <w:lvl w:ilvl="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embedTrueTypeFonts/>
  <w:saveSubset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1413"/>
    <w:rsid w:val="0000626E"/>
    <w:rsid w:val="00020FAF"/>
    <w:rsid w:val="00022474"/>
    <w:rsid w:val="00024E7F"/>
    <w:rsid w:val="000475A0"/>
    <w:rsid w:val="00067693"/>
    <w:rsid w:val="000741F8"/>
    <w:rsid w:val="000838C3"/>
    <w:rsid w:val="000B2446"/>
    <w:rsid w:val="000D7C65"/>
    <w:rsid w:val="000E2F81"/>
    <w:rsid w:val="00101F8D"/>
    <w:rsid w:val="00104937"/>
    <w:rsid w:val="00117946"/>
    <w:rsid w:val="00117E2C"/>
    <w:rsid w:val="00146C47"/>
    <w:rsid w:val="00152FB8"/>
    <w:rsid w:val="00176658"/>
    <w:rsid w:val="0018239E"/>
    <w:rsid w:val="001B3410"/>
    <w:rsid w:val="001B7503"/>
    <w:rsid w:val="001C030D"/>
    <w:rsid w:val="001C4A84"/>
    <w:rsid w:val="001D691D"/>
    <w:rsid w:val="001E5902"/>
    <w:rsid w:val="00233705"/>
    <w:rsid w:val="00246D99"/>
    <w:rsid w:val="00257266"/>
    <w:rsid w:val="00262306"/>
    <w:rsid w:val="00275CA2"/>
    <w:rsid w:val="002A65A5"/>
    <w:rsid w:val="002C04C4"/>
    <w:rsid w:val="002D08B0"/>
    <w:rsid w:val="002D1AE3"/>
    <w:rsid w:val="002F2ECE"/>
    <w:rsid w:val="00341C8F"/>
    <w:rsid w:val="0035463A"/>
    <w:rsid w:val="00355924"/>
    <w:rsid w:val="00383232"/>
    <w:rsid w:val="00391D9D"/>
    <w:rsid w:val="003B6C51"/>
    <w:rsid w:val="003C1413"/>
    <w:rsid w:val="003C549F"/>
    <w:rsid w:val="003D5A16"/>
    <w:rsid w:val="003E7DB3"/>
    <w:rsid w:val="00431175"/>
    <w:rsid w:val="004374A3"/>
    <w:rsid w:val="004506BC"/>
    <w:rsid w:val="00493686"/>
    <w:rsid w:val="004B6E37"/>
    <w:rsid w:val="004C32BA"/>
    <w:rsid w:val="004C68EF"/>
    <w:rsid w:val="00544AA3"/>
    <w:rsid w:val="005668D0"/>
    <w:rsid w:val="00575922"/>
    <w:rsid w:val="005A3C0D"/>
    <w:rsid w:val="005A6C90"/>
    <w:rsid w:val="005B37E6"/>
    <w:rsid w:val="005E3FB0"/>
    <w:rsid w:val="005F4B66"/>
    <w:rsid w:val="005F5208"/>
    <w:rsid w:val="00607F02"/>
    <w:rsid w:val="00607F88"/>
    <w:rsid w:val="00615C31"/>
    <w:rsid w:val="00641318"/>
    <w:rsid w:val="0064405D"/>
    <w:rsid w:val="00695557"/>
    <w:rsid w:val="006D4EA7"/>
    <w:rsid w:val="006F2933"/>
    <w:rsid w:val="0070012A"/>
    <w:rsid w:val="0070664B"/>
    <w:rsid w:val="007071B8"/>
    <w:rsid w:val="007155C2"/>
    <w:rsid w:val="007414DE"/>
    <w:rsid w:val="00760C0C"/>
    <w:rsid w:val="007905A9"/>
    <w:rsid w:val="007E072B"/>
    <w:rsid w:val="007E5500"/>
    <w:rsid w:val="007F055B"/>
    <w:rsid w:val="00811C2F"/>
    <w:rsid w:val="00833D46"/>
    <w:rsid w:val="00836215"/>
    <w:rsid w:val="00840A97"/>
    <w:rsid w:val="00853B63"/>
    <w:rsid w:val="00872B02"/>
    <w:rsid w:val="00873292"/>
    <w:rsid w:val="008A640A"/>
    <w:rsid w:val="008C0149"/>
    <w:rsid w:val="008D5DED"/>
    <w:rsid w:val="008E25CA"/>
    <w:rsid w:val="008F34FC"/>
    <w:rsid w:val="00944CD7"/>
    <w:rsid w:val="00961190"/>
    <w:rsid w:val="009831B2"/>
    <w:rsid w:val="009A1ABE"/>
    <w:rsid w:val="009E21A4"/>
    <w:rsid w:val="009F22C6"/>
    <w:rsid w:val="00A07E50"/>
    <w:rsid w:val="00A12C15"/>
    <w:rsid w:val="00A15397"/>
    <w:rsid w:val="00A33963"/>
    <w:rsid w:val="00A35CE0"/>
    <w:rsid w:val="00A4462E"/>
    <w:rsid w:val="00A44AA4"/>
    <w:rsid w:val="00A61623"/>
    <w:rsid w:val="00A84687"/>
    <w:rsid w:val="00AA0458"/>
    <w:rsid w:val="00AB0A0E"/>
    <w:rsid w:val="00AD3B6E"/>
    <w:rsid w:val="00AF6D31"/>
    <w:rsid w:val="00B1751F"/>
    <w:rsid w:val="00B50F96"/>
    <w:rsid w:val="00B56722"/>
    <w:rsid w:val="00B67044"/>
    <w:rsid w:val="00B74D39"/>
    <w:rsid w:val="00B827C6"/>
    <w:rsid w:val="00B91DA4"/>
    <w:rsid w:val="00BA7174"/>
    <w:rsid w:val="00BB187C"/>
    <w:rsid w:val="00C12630"/>
    <w:rsid w:val="00C34562"/>
    <w:rsid w:val="00C3774E"/>
    <w:rsid w:val="00C57456"/>
    <w:rsid w:val="00C65387"/>
    <w:rsid w:val="00C87FAB"/>
    <w:rsid w:val="00C91FF7"/>
    <w:rsid w:val="00C92D15"/>
    <w:rsid w:val="00C94E53"/>
    <w:rsid w:val="00CB2DD5"/>
    <w:rsid w:val="00CE3FC3"/>
    <w:rsid w:val="00D0048E"/>
    <w:rsid w:val="00D13254"/>
    <w:rsid w:val="00D23E7A"/>
    <w:rsid w:val="00D56D8F"/>
    <w:rsid w:val="00D61063"/>
    <w:rsid w:val="00DB35AF"/>
    <w:rsid w:val="00DD72D7"/>
    <w:rsid w:val="00DF5B88"/>
    <w:rsid w:val="00E0589E"/>
    <w:rsid w:val="00E0697F"/>
    <w:rsid w:val="00E241FA"/>
    <w:rsid w:val="00E2595E"/>
    <w:rsid w:val="00E35374"/>
    <w:rsid w:val="00E50C19"/>
    <w:rsid w:val="00E63CDC"/>
    <w:rsid w:val="00E64655"/>
    <w:rsid w:val="00E73081"/>
    <w:rsid w:val="00E856C9"/>
    <w:rsid w:val="00EA4F68"/>
    <w:rsid w:val="00EB6A8B"/>
    <w:rsid w:val="00EC6814"/>
    <w:rsid w:val="00ED411D"/>
    <w:rsid w:val="00EF38C6"/>
    <w:rsid w:val="00EF7E42"/>
    <w:rsid w:val="00F679C7"/>
    <w:rsid w:val="00F7711A"/>
    <w:rsid w:val="00F80C72"/>
    <w:rsid w:val="00FA0D58"/>
    <w:rsid w:val="00FA1580"/>
    <w:rsid w:val="00FA3296"/>
    <w:rsid w:val="00FA56F4"/>
    <w:rsid w:val="00FB4EDA"/>
    <w:rsid w:val="00FD3BD5"/>
    <w:rsid w:val="00FE3DC8"/>
    <w:rsid w:val="01037776"/>
    <w:rsid w:val="04073F84"/>
    <w:rsid w:val="077C7B5E"/>
    <w:rsid w:val="0AF9420A"/>
    <w:rsid w:val="0B60750A"/>
    <w:rsid w:val="0E840C43"/>
    <w:rsid w:val="0F77547D"/>
    <w:rsid w:val="10686488"/>
    <w:rsid w:val="10B106C0"/>
    <w:rsid w:val="10DF728A"/>
    <w:rsid w:val="1264200E"/>
    <w:rsid w:val="141C5B77"/>
    <w:rsid w:val="18D8339D"/>
    <w:rsid w:val="1A21388F"/>
    <w:rsid w:val="1A570D2F"/>
    <w:rsid w:val="20B834DC"/>
    <w:rsid w:val="24D055C4"/>
    <w:rsid w:val="276C5E15"/>
    <w:rsid w:val="28FB0B8D"/>
    <w:rsid w:val="2D2B7942"/>
    <w:rsid w:val="2D46481D"/>
    <w:rsid w:val="2E733B28"/>
    <w:rsid w:val="31852B5A"/>
    <w:rsid w:val="32D01238"/>
    <w:rsid w:val="37305E5D"/>
    <w:rsid w:val="3BFE6DD4"/>
    <w:rsid w:val="3DFC59A8"/>
    <w:rsid w:val="3ECF245E"/>
    <w:rsid w:val="3FB96314"/>
    <w:rsid w:val="470D5066"/>
    <w:rsid w:val="4F3C262C"/>
    <w:rsid w:val="53A44FAF"/>
    <w:rsid w:val="58D726DA"/>
    <w:rsid w:val="594329EC"/>
    <w:rsid w:val="59D44AFA"/>
    <w:rsid w:val="5BEE1540"/>
    <w:rsid w:val="5DE61A5D"/>
    <w:rsid w:val="5EA97DE2"/>
    <w:rsid w:val="63C04243"/>
    <w:rsid w:val="63FB29EA"/>
    <w:rsid w:val="649C01C7"/>
    <w:rsid w:val="660A0810"/>
    <w:rsid w:val="68C01702"/>
    <w:rsid w:val="68DB0393"/>
    <w:rsid w:val="699A3F60"/>
    <w:rsid w:val="6C607D05"/>
    <w:rsid w:val="72902E62"/>
    <w:rsid w:val="73C61104"/>
    <w:rsid w:val="776452EA"/>
    <w:rsid w:val="77CC0BA8"/>
    <w:rsid w:val="7D49722F"/>
    <w:rsid w:val="7DC663B9"/>
    <w:rsid w:val="7FD210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1"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87C"/>
    <w:pPr>
      <w:widowControl w:val="0"/>
      <w:spacing w:after="160" w:line="480" w:lineRule="auto"/>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BB187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B187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B187C"/>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BB187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BB187C"/>
    <w:pPr>
      <w:ind w:leftChars="2500" w:left="100"/>
    </w:pPr>
  </w:style>
  <w:style w:type="paragraph" w:styleId="a4">
    <w:name w:val="Balloon Text"/>
    <w:basedOn w:val="a"/>
    <w:link w:val="Char0"/>
    <w:uiPriority w:val="99"/>
    <w:semiHidden/>
    <w:unhideWhenUsed/>
    <w:qFormat/>
    <w:rsid w:val="00BB187C"/>
    <w:rPr>
      <w:sz w:val="18"/>
      <w:szCs w:val="18"/>
    </w:rPr>
  </w:style>
  <w:style w:type="paragraph" w:styleId="a5">
    <w:name w:val="footer"/>
    <w:basedOn w:val="a"/>
    <w:link w:val="Char1"/>
    <w:uiPriority w:val="99"/>
    <w:unhideWhenUsed/>
    <w:qFormat/>
    <w:rsid w:val="00BB187C"/>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BB187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Subtitle"/>
    <w:basedOn w:val="a"/>
    <w:next w:val="a"/>
    <w:link w:val="Char3"/>
    <w:uiPriority w:val="11"/>
    <w:qFormat/>
    <w:rsid w:val="00BB187C"/>
    <w:pPr>
      <w:widowControl/>
      <w:spacing w:after="200" w:line="276" w:lineRule="auto"/>
      <w:jc w:val="left"/>
    </w:pPr>
    <w:rPr>
      <w:rFonts w:asciiTheme="majorHAnsi" w:eastAsiaTheme="majorEastAsia" w:hAnsiTheme="majorHAnsi" w:cstheme="majorBidi"/>
      <w:i/>
      <w:iCs/>
      <w:color w:val="F0A22E" w:themeColor="accent1"/>
      <w:spacing w:val="15"/>
      <w:kern w:val="0"/>
      <w:sz w:val="24"/>
    </w:rPr>
  </w:style>
  <w:style w:type="paragraph" w:styleId="a8">
    <w:name w:val="Normal (Web)"/>
    <w:basedOn w:val="a"/>
    <w:uiPriority w:val="99"/>
    <w:unhideWhenUsed/>
    <w:qFormat/>
    <w:rsid w:val="00BB187C"/>
    <w:pPr>
      <w:spacing w:before="100" w:beforeAutospacing="1" w:after="100" w:afterAutospacing="1"/>
      <w:jc w:val="left"/>
    </w:pPr>
    <w:rPr>
      <w:kern w:val="0"/>
      <w:sz w:val="24"/>
    </w:rPr>
  </w:style>
  <w:style w:type="paragraph" w:styleId="a9">
    <w:name w:val="Title"/>
    <w:basedOn w:val="a"/>
    <w:next w:val="a"/>
    <w:link w:val="Char4"/>
    <w:uiPriority w:val="10"/>
    <w:qFormat/>
    <w:rsid w:val="00BB187C"/>
    <w:pPr>
      <w:widowControl/>
      <w:pBdr>
        <w:bottom w:val="single" w:sz="8" w:space="4" w:color="F0A22E" w:themeColor="accent1"/>
      </w:pBdr>
      <w:spacing w:after="300"/>
      <w:contextualSpacing/>
      <w:jc w:val="left"/>
    </w:pPr>
    <w:rPr>
      <w:rFonts w:asciiTheme="majorHAnsi" w:eastAsiaTheme="majorEastAsia" w:hAnsiTheme="majorHAnsi" w:cstheme="majorBidi"/>
      <w:color w:val="3A2C24" w:themeColor="text2" w:themeShade="BF"/>
      <w:spacing w:val="5"/>
      <w:kern w:val="28"/>
      <w:sz w:val="52"/>
      <w:szCs w:val="52"/>
    </w:rPr>
  </w:style>
  <w:style w:type="table" w:styleId="aa">
    <w:name w:val="Table Grid"/>
    <w:basedOn w:val="a1"/>
    <w:uiPriority w:val="1"/>
    <w:qFormat/>
    <w:rsid w:val="00BB187C"/>
    <w:rPr>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6"/>
    <w:uiPriority w:val="99"/>
    <w:qFormat/>
    <w:rsid w:val="00BB187C"/>
    <w:rPr>
      <w:sz w:val="18"/>
      <w:szCs w:val="18"/>
    </w:rPr>
  </w:style>
  <w:style w:type="character" w:customStyle="1" w:styleId="Char1">
    <w:name w:val="页脚 Char"/>
    <w:basedOn w:val="a0"/>
    <w:link w:val="a5"/>
    <w:uiPriority w:val="99"/>
    <w:qFormat/>
    <w:rsid w:val="00BB187C"/>
    <w:rPr>
      <w:sz w:val="18"/>
      <w:szCs w:val="18"/>
    </w:rPr>
  </w:style>
  <w:style w:type="paragraph" w:styleId="ab">
    <w:name w:val="No Spacing"/>
    <w:link w:val="Char5"/>
    <w:uiPriority w:val="1"/>
    <w:qFormat/>
    <w:rsid w:val="00BB187C"/>
    <w:pPr>
      <w:spacing w:after="160" w:line="480" w:lineRule="auto"/>
    </w:pPr>
    <w:rPr>
      <w:sz w:val="22"/>
      <w:szCs w:val="22"/>
    </w:rPr>
  </w:style>
  <w:style w:type="character" w:customStyle="1" w:styleId="Char5">
    <w:name w:val="无间隔 Char"/>
    <w:basedOn w:val="a0"/>
    <w:link w:val="ab"/>
    <w:uiPriority w:val="1"/>
    <w:qFormat/>
    <w:rsid w:val="00BB187C"/>
    <w:rPr>
      <w:kern w:val="0"/>
      <w:sz w:val="22"/>
    </w:rPr>
  </w:style>
  <w:style w:type="character" w:customStyle="1" w:styleId="Char0">
    <w:name w:val="批注框文本 Char"/>
    <w:basedOn w:val="a0"/>
    <w:link w:val="a4"/>
    <w:uiPriority w:val="99"/>
    <w:semiHidden/>
    <w:qFormat/>
    <w:rsid w:val="00BB187C"/>
    <w:rPr>
      <w:rFonts w:ascii="Times New Roman" w:eastAsia="宋体" w:hAnsi="Times New Roman" w:cs="Times New Roman"/>
      <w:sz w:val="18"/>
      <w:szCs w:val="18"/>
    </w:rPr>
  </w:style>
  <w:style w:type="character" w:customStyle="1" w:styleId="Char4">
    <w:name w:val="标题 Char"/>
    <w:basedOn w:val="a0"/>
    <w:link w:val="a9"/>
    <w:uiPriority w:val="10"/>
    <w:qFormat/>
    <w:rsid w:val="00BB187C"/>
    <w:rPr>
      <w:rFonts w:asciiTheme="majorHAnsi" w:eastAsiaTheme="majorEastAsia" w:hAnsiTheme="majorHAnsi" w:cstheme="majorBidi"/>
      <w:color w:val="3A2C24" w:themeColor="text2" w:themeShade="BF"/>
      <w:spacing w:val="5"/>
      <w:kern w:val="28"/>
      <w:sz w:val="52"/>
      <w:szCs w:val="52"/>
    </w:rPr>
  </w:style>
  <w:style w:type="character" w:customStyle="1" w:styleId="Char3">
    <w:name w:val="副标题 Char"/>
    <w:basedOn w:val="a0"/>
    <w:link w:val="a7"/>
    <w:uiPriority w:val="11"/>
    <w:qFormat/>
    <w:rsid w:val="00BB187C"/>
    <w:rPr>
      <w:rFonts w:asciiTheme="majorHAnsi" w:eastAsiaTheme="majorEastAsia" w:hAnsiTheme="majorHAnsi" w:cstheme="majorBidi"/>
      <w:i/>
      <w:iCs/>
      <w:color w:val="F0A22E" w:themeColor="accent1"/>
      <w:spacing w:val="15"/>
      <w:kern w:val="0"/>
      <w:sz w:val="24"/>
      <w:szCs w:val="24"/>
    </w:rPr>
  </w:style>
  <w:style w:type="character" w:customStyle="1" w:styleId="Style1">
    <w:name w:val="Style1"/>
    <w:basedOn w:val="a0"/>
    <w:uiPriority w:val="1"/>
    <w:qFormat/>
    <w:rsid w:val="00BB187C"/>
    <w:rPr>
      <w:rFonts w:asciiTheme="minorHAnsi" w:eastAsiaTheme="minorEastAsia" w:hAnsiTheme="minorEastAsia" w:cstheme="minorBidi"/>
      <w:sz w:val="22"/>
      <w:szCs w:val="22"/>
      <w:lang w:eastAsia="zh-CN"/>
    </w:rPr>
  </w:style>
  <w:style w:type="character" w:customStyle="1" w:styleId="Style2">
    <w:name w:val="Style2"/>
    <w:basedOn w:val="a0"/>
    <w:uiPriority w:val="1"/>
    <w:qFormat/>
    <w:rsid w:val="00BB187C"/>
    <w:rPr>
      <w:rFonts w:asciiTheme="minorHAnsi" w:eastAsiaTheme="minorEastAsia" w:hAnsiTheme="minorEastAsia" w:cstheme="minorBidi"/>
      <w:sz w:val="22"/>
      <w:szCs w:val="22"/>
      <w:lang w:eastAsia="zh-CN"/>
    </w:rPr>
  </w:style>
  <w:style w:type="character" w:customStyle="1" w:styleId="Style3">
    <w:name w:val="Style3"/>
    <w:basedOn w:val="a0"/>
    <w:uiPriority w:val="1"/>
    <w:qFormat/>
    <w:rsid w:val="00BB187C"/>
    <w:rPr>
      <w:rFonts w:asciiTheme="minorHAnsi" w:eastAsiaTheme="minorEastAsia" w:hAnsiTheme="minorEastAsia" w:cstheme="minorBidi"/>
      <w:szCs w:val="22"/>
      <w:lang w:eastAsia="zh-CN"/>
    </w:rPr>
  </w:style>
  <w:style w:type="character" w:customStyle="1" w:styleId="Style4">
    <w:name w:val="Style4"/>
    <w:basedOn w:val="a0"/>
    <w:uiPriority w:val="1"/>
    <w:qFormat/>
    <w:rsid w:val="00BB187C"/>
    <w:rPr>
      <w:rFonts w:asciiTheme="minorHAnsi" w:eastAsiaTheme="minorEastAsia" w:hAnsiTheme="minorEastAsia" w:cstheme="minorBidi"/>
      <w:szCs w:val="22"/>
      <w:lang w:eastAsia="zh-CN"/>
    </w:rPr>
  </w:style>
  <w:style w:type="character" w:customStyle="1" w:styleId="Style5">
    <w:name w:val="Style5"/>
    <w:basedOn w:val="a0"/>
    <w:uiPriority w:val="1"/>
    <w:qFormat/>
    <w:rsid w:val="00BB187C"/>
    <w:rPr>
      <w:rFonts w:asciiTheme="minorHAnsi" w:eastAsiaTheme="minorEastAsia" w:hAnsiTheme="minorEastAsia" w:cstheme="minorBidi"/>
      <w:sz w:val="22"/>
      <w:szCs w:val="22"/>
      <w:lang w:eastAsia="zh-CN"/>
    </w:rPr>
  </w:style>
  <w:style w:type="character" w:customStyle="1" w:styleId="1Char">
    <w:name w:val="标题 1 Char"/>
    <w:basedOn w:val="a0"/>
    <w:link w:val="1"/>
    <w:uiPriority w:val="9"/>
    <w:qFormat/>
    <w:rsid w:val="00BB187C"/>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BB187C"/>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BB187C"/>
    <w:rPr>
      <w:rFonts w:ascii="Times New Roman" w:eastAsia="宋体" w:hAnsi="Times New Roman" w:cs="Times New Roman"/>
      <w:b/>
      <w:bCs/>
      <w:sz w:val="32"/>
      <w:szCs w:val="32"/>
    </w:rPr>
  </w:style>
  <w:style w:type="character" w:customStyle="1" w:styleId="4Char">
    <w:name w:val="标题 4 Char"/>
    <w:basedOn w:val="a0"/>
    <w:link w:val="4"/>
    <w:uiPriority w:val="9"/>
    <w:qFormat/>
    <w:rsid w:val="00BB187C"/>
    <w:rPr>
      <w:rFonts w:asciiTheme="majorHAnsi" w:eastAsiaTheme="majorEastAsia" w:hAnsiTheme="majorHAnsi" w:cstheme="majorBidi"/>
      <w:b/>
      <w:bCs/>
      <w:sz w:val="28"/>
      <w:szCs w:val="28"/>
    </w:rPr>
  </w:style>
  <w:style w:type="character" w:customStyle="1" w:styleId="Char">
    <w:name w:val="日期 Char"/>
    <w:basedOn w:val="a0"/>
    <w:link w:val="a3"/>
    <w:uiPriority w:val="99"/>
    <w:semiHidden/>
    <w:qFormat/>
    <w:rsid w:val="00BB187C"/>
    <w:rPr>
      <w:rFonts w:ascii="Times New Roman" w:eastAsia="宋体" w:hAnsi="Times New Roman" w:cs="Times New Roman"/>
      <w:szCs w:val="24"/>
    </w:rPr>
  </w:style>
  <w:style w:type="paragraph" w:styleId="ac">
    <w:name w:val="List Paragraph"/>
    <w:basedOn w:val="a"/>
    <w:uiPriority w:val="99"/>
    <w:unhideWhenUsed/>
    <w:qFormat/>
    <w:rsid w:val="00BB187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5.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a:t>
            </a:r>
          </a:p>
        </c:rich>
      </c:tx>
      <c:spPr>
        <a:noFill/>
        <a:ln>
          <a:noFill/>
        </a:ln>
        <a:effectLst/>
      </c:spPr>
    </c:title>
    <c:plotArea>
      <c:layout/>
      <c:pieChart>
        <c:varyColors val="1"/>
        <c:ser>
          <c:idx val="0"/>
          <c:order val="0"/>
          <c:tx>
            <c:strRef>
              <c:f>Sheet1!$B$1</c:f>
              <c:strCache>
                <c:ptCount val="1"/>
                <c:pt idx="0">
                  <c:v>百分比（%）</c:v>
                </c:pt>
              </c:strCache>
            </c:strRef>
          </c:tx>
          <c:dPt>
            <c:idx val="0"/>
            <c:spPr>
              <a:solidFill>
                <a:schemeClr val="accent1">
                  <a:tint val="100000"/>
                  <a:shade val="100000"/>
                  <a:hueMod val="100000"/>
                  <a:satMod val="100000"/>
                </a:schemeClr>
              </a:solidFill>
              <a:ln w="19050">
                <a:solidFill>
                  <a:schemeClr val="lt1"/>
                </a:solidFill>
              </a:ln>
              <a:effectLst/>
            </c:spPr>
          </c:dPt>
          <c:dPt>
            <c:idx val="1"/>
            <c:spPr>
              <a:solidFill>
                <a:schemeClr val="accent2">
                  <a:tint val="100000"/>
                  <a:shade val="100000"/>
                  <a:hueMod val="100000"/>
                  <a:satMod val="100000"/>
                </a:schemeClr>
              </a:solidFill>
              <a:ln w="19050">
                <a:solidFill>
                  <a:schemeClr val="lt1"/>
                </a:solidFill>
              </a:ln>
              <a:effectLst/>
            </c:spPr>
          </c:dPt>
          <c:dPt>
            <c:idx val="2"/>
            <c:spPr>
              <a:solidFill>
                <a:schemeClr val="accent3">
                  <a:tint val="100000"/>
                  <a:shade val="100000"/>
                  <a:hueMod val="100000"/>
                  <a:satMod val="100000"/>
                </a:schemeClr>
              </a:solidFill>
              <a:ln w="19050">
                <a:solidFill>
                  <a:schemeClr val="lt1"/>
                </a:solidFill>
              </a:ln>
              <a:effectLst/>
            </c:spPr>
          </c:dPt>
          <c:dPt>
            <c:idx val="3"/>
            <c:spPr>
              <a:solidFill>
                <a:schemeClr val="accent4">
                  <a:tint val="100000"/>
                  <a:shade val="100000"/>
                  <a:hueMod val="100000"/>
                  <a:satMod val="100000"/>
                </a:schemeClr>
              </a:solidFill>
              <a:ln w="19050">
                <a:solidFill>
                  <a:schemeClr val="lt1"/>
                </a:solidFill>
              </a:ln>
              <a:effectLst/>
            </c:spPr>
          </c:dPt>
          <c:cat>
            <c:strRef>
              <c:f>Sheet1!$A$2:$A$5</c:f>
              <c:strCache>
                <c:ptCount val="4"/>
                <c:pt idx="0">
                  <c:v>财政拨款收入</c:v>
                </c:pt>
                <c:pt idx="1">
                  <c:v>事业收入</c:v>
                </c:pt>
                <c:pt idx="2">
                  <c:v>经营性收入</c:v>
                </c:pt>
                <c:pt idx="3">
                  <c:v>其他收入</c:v>
                </c:pt>
              </c:strCache>
            </c:strRef>
          </c:cat>
          <c:val>
            <c:numRef>
              <c:f>Sheet1!$B$2:$B$5</c:f>
              <c:numCache>
                <c:formatCode>General</c:formatCode>
                <c:ptCount val="4"/>
                <c:pt idx="0">
                  <c:v>100</c:v>
                </c:pt>
                <c:pt idx="1">
                  <c:v>0</c:v>
                </c:pt>
                <c:pt idx="2">
                  <c:v>0</c:v>
                </c:pt>
                <c:pt idx="3">
                  <c:v>0</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支出决算结构（万元）</a:t>
            </a:r>
          </a:p>
        </c:rich>
      </c:tx>
      <c:spPr>
        <a:noFill/>
        <a:ln>
          <a:noFill/>
        </a:ln>
        <a:effectLst/>
      </c:spPr>
    </c:title>
    <c:plotArea>
      <c:layout/>
      <c:pieChart>
        <c:varyColors val="1"/>
        <c:ser>
          <c:idx val="0"/>
          <c:order val="0"/>
          <c:tx>
            <c:strRef>
              <c:f>Sheet1!$B$1</c:f>
              <c:strCache>
                <c:ptCount val="1"/>
                <c:pt idx="0">
                  <c:v>支出金额（万元）</c:v>
                </c:pt>
              </c:strCache>
            </c:strRef>
          </c:tx>
          <c:dPt>
            <c:idx val="0"/>
            <c:spPr>
              <a:solidFill>
                <a:schemeClr val="accent1">
                  <a:tint val="100000"/>
                  <a:shade val="100000"/>
                  <a:hueMod val="100000"/>
                  <a:satMod val="100000"/>
                </a:schemeClr>
              </a:solidFill>
              <a:ln w="19050">
                <a:solidFill>
                  <a:schemeClr val="lt1"/>
                </a:solidFill>
              </a:ln>
              <a:effectLst/>
            </c:spPr>
          </c:dPt>
          <c:dPt>
            <c:idx val="1"/>
            <c:spPr>
              <a:solidFill>
                <a:schemeClr val="accent2">
                  <a:tint val="100000"/>
                  <a:shade val="100000"/>
                  <a:hueMod val="100000"/>
                  <a:satMod val="100000"/>
                </a:schemeClr>
              </a:solidFill>
              <a:ln w="19050">
                <a:solidFill>
                  <a:schemeClr val="lt1"/>
                </a:solidFill>
              </a:ln>
              <a:effectLst/>
            </c:spPr>
          </c:dPt>
          <c:dPt>
            <c:idx val="2"/>
            <c:spPr>
              <a:solidFill>
                <a:schemeClr val="accent3">
                  <a:tint val="100000"/>
                  <a:shade val="100000"/>
                  <a:hueMod val="100000"/>
                  <a:satMod val="100000"/>
                </a:schemeClr>
              </a:solidFill>
              <a:ln w="19050">
                <a:solidFill>
                  <a:schemeClr val="lt1"/>
                </a:solidFill>
              </a:ln>
              <a:effectLst/>
            </c:spPr>
          </c:dPt>
          <c:dPt>
            <c:idx val="3"/>
            <c:spPr>
              <a:solidFill>
                <a:schemeClr val="accent4">
                  <a:tint val="100000"/>
                  <a:shade val="100000"/>
                  <a:hueMod val="100000"/>
                  <a:satMod val="100000"/>
                </a:schemeClr>
              </a:solidFill>
              <a:ln w="19050">
                <a:solidFill>
                  <a:schemeClr val="lt1"/>
                </a:solidFill>
              </a:ln>
              <a:effectLst/>
            </c:spPr>
          </c:dPt>
          <c:cat>
            <c:strRef>
              <c:f>Sheet1!$A$2:$A$5</c:f>
              <c:strCache>
                <c:ptCount val="4"/>
                <c:pt idx="0">
                  <c:v>基本支出</c:v>
                </c:pt>
                <c:pt idx="1">
                  <c:v>项目支出</c:v>
                </c:pt>
              </c:strCache>
            </c:strRef>
          </c:cat>
          <c:val>
            <c:numRef>
              <c:f>Sheet1!$B$2:$B$5</c:f>
              <c:numCache>
                <c:formatCode>General</c:formatCode>
                <c:ptCount val="4"/>
                <c:pt idx="0">
                  <c:v>21.810000000000031</c:v>
                </c:pt>
                <c:pt idx="1">
                  <c:v>5619.91</c:v>
                </c:pt>
              </c:numCache>
            </c:numRef>
          </c:val>
        </c:ser>
        <c:firstSliceAng val="0"/>
      </c:pieChart>
      <c:spPr>
        <a:noFill/>
        <a:ln>
          <a:noFill/>
        </a:ln>
        <a:effectLst/>
      </c:spPr>
    </c:plotArea>
    <c:legend>
      <c:legendPos val="b"/>
      <c:legendEntry>
        <c:idx val="2"/>
        <c:delete val="1"/>
      </c:legendEntry>
      <c:legendEntry>
        <c:idx val="3"/>
        <c:delete val="1"/>
      </c:legendEntry>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endParaRPr/>
          </a:p>
        </c:rich>
      </c:tx>
      <c:spPr>
        <a:noFill/>
        <a:ln>
          <a:noFill/>
        </a:ln>
        <a:effectLst/>
      </c:spPr>
    </c:title>
    <c:plotArea>
      <c:layout>
        <c:manualLayout>
          <c:layoutTarget val="inner"/>
          <c:xMode val="edge"/>
          <c:yMode val="edge"/>
          <c:x val="0.23695000000000024"/>
          <c:y val="0.45226917057902999"/>
          <c:w val="0.75180000000000136"/>
          <c:h val="0.45208137715180075"/>
        </c:manualLayout>
      </c:layout>
      <c:barChart>
        <c:barDir val="bar"/>
        <c:grouping val="clustered"/>
        <c:ser>
          <c:idx val="0"/>
          <c:order val="0"/>
          <c:tx>
            <c:strRef>
              <c:f>Sheet1!$B$1</c:f>
              <c:strCache>
                <c:ptCount val="1"/>
                <c:pt idx="0">
                  <c:v>财政拨款收支（万元）</c:v>
                </c:pt>
              </c:strCache>
            </c:strRef>
          </c:tx>
          <c:spPr>
            <a:solidFill>
              <a:schemeClr val="accent1">
                <a:tint val="100000"/>
                <a:shade val="100000"/>
                <a:hueMod val="100000"/>
                <a:satMod val="100000"/>
              </a:schemeClr>
            </a:solidFill>
            <a:ln w="19050">
              <a:solidFill>
                <a:schemeClr val="lt1"/>
              </a:solidFill>
            </a:ln>
            <a:effectLst/>
          </c:spPr>
          <c:cat>
            <c:strRef>
              <c:f>Sheet1!$A$2:$A$5</c:f>
              <c:strCache>
                <c:ptCount val="4"/>
                <c:pt idx="0">
                  <c:v>2017财政拨款收入</c:v>
                </c:pt>
                <c:pt idx="1">
                  <c:v>2018财政拨款收入</c:v>
                </c:pt>
                <c:pt idx="2">
                  <c:v>2017财政拨款支出</c:v>
                </c:pt>
                <c:pt idx="3">
                  <c:v>2018财政拨款支出</c:v>
                </c:pt>
              </c:strCache>
            </c:strRef>
          </c:cat>
          <c:val>
            <c:numRef>
              <c:f>Sheet1!$B$2:$B$5</c:f>
              <c:numCache>
                <c:formatCode>General</c:formatCode>
                <c:ptCount val="4"/>
                <c:pt idx="0">
                  <c:v>5607.28</c:v>
                </c:pt>
                <c:pt idx="1">
                  <c:v>2366.16</c:v>
                </c:pt>
                <c:pt idx="2">
                  <c:v>1517.8799999999999</c:v>
                </c:pt>
                <c:pt idx="3">
                  <c:v>5641.72</c:v>
                </c:pt>
              </c:numCache>
            </c:numRef>
          </c:val>
        </c:ser>
        <c:axId val="182148096"/>
        <c:axId val="182862976"/>
      </c:barChart>
      <c:catAx>
        <c:axId val="182148096"/>
        <c:scaling>
          <c:orientation val="minMax"/>
        </c:scaling>
        <c:axPos val="l"/>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82862976"/>
        <c:crosses val="autoZero"/>
        <c:auto val="1"/>
        <c:lblAlgn val="ctr"/>
        <c:lblOffset val="100"/>
      </c:catAx>
      <c:valAx>
        <c:axId val="182862976"/>
        <c:scaling>
          <c:orientation val="minMax"/>
        </c:scaling>
        <c:axPos val="b"/>
        <c:majorGridlines>
          <c:spPr>
            <a:ln w="9525" cap="flat" cmpd="sng" algn="ctr">
              <a:solidFill>
                <a:schemeClr val="tx1">
                  <a:lumMod val="15000"/>
                  <a:lumOff val="85000"/>
                </a:schemeClr>
              </a:solidFill>
              <a:prstDash val="solid"/>
              <a:round/>
            </a:ln>
            <a:effectLst/>
          </c:spPr>
        </c:majorGridlines>
        <c:numFmt formatCode="General" sourceLinked="1"/>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82148096"/>
        <c:crosses val="autoZero"/>
        <c:crossBetween val="between"/>
      </c:valAx>
      <c:spPr>
        <a:noFill/>
        <a:ln>
          <a:noFill/>
        </a:ln>
        <a:effectLst/>
      </c:spPr>
    </c:plotArea>
    <c:legend>
      <c:legendPos val="b"/>
      <c:layout>
        <c:manualLayout>
          <c:xMode val="edge"/>
          <c:yMode val="edge"/>
          <c:x val="0.37100000000000055"/>
          <c:y val="6.4788732394366194E-2"/>
          <c:w val="0.26174999999999998"/>
          <c:h val="0.14053208137715234"/>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endParaRPr/>
          </a:p>
        </c:rich>
      </c:tx>
      <c:spPr>
        <a:noFill/>
        <a:ln>
          <a:noFill/>
        </a:ln>
        <a:effectLst/>
      </c:spPr>
    </c:title>
    <c:plotArea>
      <c:layout/>
      <c:barChart>
        <c:barDir val="bar"/>
        <c:grouping val="clustered"/>
        <c:ser>
          <c:idx val="0"/>
          <c:order val="0"/>
          <c:tx>
            <c:strRef>
              <c:f>Sheet1!$B$1</c:f>
              <c:strCache>
                <c:ptCount val="1"/>
                <c:pt idx="0">
                  <c:v>财政拨款收支预决算对比(万元)</c:v>
                </c:pt>
              </c:strCache>
            </c:strRef>
          </c:tx>
          <c:spPr>
            <a:solidFill>
              <a:schemeClr val="accent1">
                <a:tint val="100000"/>
                <a:shade val="100000"/>
                <a:hueMod val="100000"/>
                <a:satMod val="100000"/>
              </a:schemeClr>
            </a:solidFill>
            <a:ln>
              <a:noFill/>
            </a:ln>
            <a:effectLst/>
          </c:spPr>
          <c:cat>
            <c:strRef>
              <c:f>Sheet1!$A$2:$A$5</c:f>
              <c:strCache>
                <c:ptCount val="4"/>
                <c:pt idx="0">
                  <c:v>2018年财政拨款支出预算</c:v>
                </c:pt>
                <c:pt idx="1">
                  <c:v>2018年财政拨款支出</c:v>
                </c:pt>
                <c:pt idx="2">
                  <c:v>2018年财政拨款收入预算</c:v>
                </c:pt>
                <c:pt idx="3">
                  <c:v>2018年财政拨款收入</c:v>
                </c:pt>
              </c:strCache>
            </c:strRef>
          </c:cat>
          <c:val>
            <c:numRef>
              <c:f>Sheet1!$B$2:$B$5</c:f>
              <c:numCache>
                <c:formatCode>General</c:formatCode>
                <c:ptCount val="4"/>
                <c:pt idx="0">
                  <c:v>703.45999999999947</c:v>
                </c:pt>
                <c:pt idx="1">
                  <c:v>5641.72</c:v>
                </c:pt>
                <c:pt idx="2">
                  <c:v>703.45999999999947</c:v>
                </c:pt>
                <c:pt idx="3">
                  <c:v>2366.16</c:v>
                </c:pt>
              </c:numCache>
            </c:numRef>
          </c:val>
        </c:ser>
        <c:ser>
          <c:idx val="1"/>
          <c:order val="1"/>
          <c:tx>
            <c:strRef>
              <c:f>Sheet1!#REF!</c:f>
              <c:strCache>
                <c:ptCount val="1"/>
              </c:strCache>
            </c:strRef>
          </c:tx>
          <c:spPr>
            <a:solidFill>
              <a:schemeClr val="accent2">
                <a:tint val="100000"/>
                <a:shade val="100000"/>
                <a:hueMod val="100000"/>
                <a:satMod val="100000"/>
              </a:schemeClr>
            </a:solidFill>
            <a:ln>
              <a:noFill/>
            </a:ln>
            <a:effectLst/>
          </c:spPr>
          <c:cat>
            <c:strRef>
              <c:f>Sheet1!$A$2:$A$5</c:f>
              <c:strCache>
                <c:ptCount val="4"/>
                <c:pt idx="0">
                  <c:v>2018年财政拨款支出预算</c:v>
                </c:pt>
                <c:pt idx="1">
                  <c:v>2018年财政拨款支出</c:v>
                </c:pt>
                <c:pt idx="2">
                  <c:v>2018年财政拨款收入预算</c:v>
                </c:pt>
                <c:pt idx="3">
                  <c:v>2018年财政拨款收入</c:v>
                </c:pt>
              </c:strCache>
            </c:strRef>
          </c:cat>
          <c:val>
            <c:numRef>
              <c:f>Sheet1!#REF!</c:f>
              <c:numCache>
                <c:formatCode>General</c:formatCode>
                <c:ptCount val="1"/>
                <c:pt idx="0">
                  <c:v>1</c:v>
                </c:pt>
              </c:numCache>
            </c:numRef>
          </c:val>
        </c:ser>
        <c:ser>
          <c:idx val="2"/>
          <c:order val="2"/>
          <c:tx>
            <c:strRef>
              <c:f>Sheet1!#REF!</c:f>
              <c:strCache>
                <c:ptCount val="1"/>
              </c:strCache>
            </c:strRef>
          </c:tx>
          <c:spPr>
            <a:solidFill>
              <a:schemeClr val="accent3">
                <a:tint val="100000"/>
                <a:shade val="100000"/>
                <a:hueMod val="100000"/>
                <a:satMod val="100000"/>
              </a:schemeClr>
            </a:solidFill>
            <a:ln>
              <a:noFill/>
            </a:ln>
            <a:effectLst/>
          </c:spPr>
          <c:cat>
            <c:strRef>
              <c:f>Sheet1!$A$2:$A$5</c:f>
              <c:strCache>
                <c:ptCount val="4"/>
                <c:pt idx="0">
                  <c:v>2018年财政拨款支出预算</c:v>
                </c:pt>
                <c:pt idx="1">
                  <c:v>2018年财政拨款支出</c:v>
                </c:pt>
                <c:pt idx="2">
                  <c:v>2018年财政拨款收入预算</c:v>
                </c:pt>
                <c:pt idx="3">
                  <c:v>2018年财政拨款收入</c:v>
                </c:pt>
              </c:strCache>
            </c:strRef>
          </c:cat>
          <c:val>
            <c:numRef>
              <c:f>Sheet1!#REF!</c:f>
              <c:numCache>
                <c:formatCode>General</c:formatCode>
                <c:ptCount val="1"/>
                <c:pt idx="0">
                  <c:v>1</c:v>
                </c:pt>
              </c:numCache>
            </c:numRef>
          </c:val>
        </c:ser>
        <c:gapWidth val="182"/>
        <c:axId val="207574528"/>
        <c:axId val="208425344"/>
      </c:barChart>
      <c:catAx>
        <c:axId val="207574528"/>
        <c:scaling>
          <c:orientation val="minMax"/>
        </c:scaling>
        <c:axPos val="l"/>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8425344"/>
        <c:crosses val="autoZero"/>
        <c:auto val="1"/>
        <c:lblAlgn val="ctr"/>
        <c:lblOffset val="100"/>
      </c:catAx>
      <c:valAx>
        <c:axId val="208425344"/>
        <c:scaling>
          <c:orientation val="minMax"/>
        </c:scaling>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07574528"/>
        <c:crosses val="autoZero"/>
        <c:crossBetween val="between"/>
      </c:valAx>
      <c:spPr>
        <a:noFill/>
        <a:ln>
          <a:noFill/>
        </a:ln>
        <a:effectLst/>
      </c:spPr>
    </c:plotArea>
    <c:legend>
      <c:legendPos val="b"/>
      <c:legendEntry>
        <c:idx val="1"/>
        <c:delete val="1"/>
      </c:legendEntry>
      <c:legendEntry>
        <c:idx val="0"/>
        <c:delete val="1"/>
      </c:legendEntry>
      <c:layout>
        <c:manualLayout>
          <c:xMode val="edge"/>
          <c:yMode val="edge"/>
          <c:x val="0.36446537131958623"/>
          <c:y val="7.3732718894009328E-2"/>
        </c:manualLayout>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财政拨款支出决算结构</a:t>
            </a:r>
          </a:p>
        </c:rich>
      </c:tx>
      <c:spPr>
        <a:noFill/>
        <a:ln>
          <a:noFill/>
        </a:ln>
        <a:effectLst/>
      </c:spPr>
    </c:title>
    <c:plotArea>
      <c:layout/>
      <c:pieChart>
        <c:varyColors val="1"/>
        <c:ser>
          <c:idx val="0"/>
          <c:order val="0"/>
          <c:tx>
            <c:strRef>
              <c:f>Sheet1!$B$1</c:f>
              <c:strCache>
                <c:ptCount val="1"/>
                <c:pt idx="0">
                  <c:v>财政拨款支出决算结构(%)</c:v>
                </c:pt>
              </c:strCache>
            </c:strRef>
          </c:tx>
          <c:dPt>
            <c:idx val="0"/>
            <c:spPr>
              <a:solidFill>
                <a:schemeClr val="accent1">
                  <a:tint val="100000"/>
                  <a:shade val="100000"/>
                  <a:hueMod val="100000"/>
                  <a:satMod val="100000"/>
                </a:schemeClr>
              </a:solidFill>
              <a:ln w="19050">
                <a:solidFill>
                  <a:schemeClr val="lt1"/>
                </a:solidFill>
              </a:ln>
              <a:effectLst/>
            </c:spPr>
          </c:dPt>
          <c:dPt>
            <c:idx val="1"/>
            <c:spPr>
              <a:solidFill>
                <a:schemeClr val="accent2">
                  <a:tint val="100000"/>
                  <a:shade val="100000"/>
                  <a:hueMod val="100000"/>
                  <a:satMod val="100000"/>
                </a:schemeClr>
              </a:solidFill>
              <a:ln w="19050">
                <a:solidFill>
                  <a:schemeClr val="lt1"/>
                </a:solidFill>
              </a:ln>
              <a:effectLst/>
            </c:spPr>
          </c:dPt>
          <c:cat>
            <c:strRef>
              <c:f>Sheet1!$A$2:$A$3</c:f>
              <c:strCache>
                <c:ptCount val="2"/>
                <c:pt idx="0">
                  <c:v>社会保障和就业支出</c:v>
                </c:pt>
                <c:pt idx="1">
                  <c:v>农林水支出</c:v>
                </c:pt>
              </c:strCache>
            </c:strRef>
          </c:cat>
          <c:val>
            <c:numRef>
              <c:f>Sheet1!$B$2:$B$3</c:f>
              <c:numCache>
                <c:formatCode>General</c:formatCode>
                <c:ptCount val="2"/>
                <c:pt idx="0">
                  <c:v>21.810000000000031</c:v>
                </c:pt>
                <c:pt idx="1">
                  <c:v>5619.91</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跋涉">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凤舞九天">
      <a:fillStyleLst>
        <a:solidFill>
          <a:schemeClr val="phClr">
            <a:tint val="100000"/>
            <a:shade val="100000"/>
            <a:hueMod val="100000"/>
            <a:satMod val="100000"/>
          </a:schemeClr>
        </a:solidFill>
        <a:gradFill rotWithShape="1">
          <a:gsLst>
            <a:gs pos="0">
              <a:schemeClr val="phClr">
                <a:tint val="65000"/>
                <a:satMod val="180000"/>
              </a:schemeClr>
            </a:gs>
            <a:gs pos="50000">
              <a:schemeClr val="phClr">
                <a:tint val="40000"/>
                <a:satMod val="175000"/>
              </a:schemeClr>
            </a:gs>
            <a:gs pos="100000">
              <a:schemeClr val="phClr">
                <a:tint val="65000"/>
                <a:satMod val="180000"/>
              </a:schemeClr>
            </a:gs>
          </a:gsLst>
          <a:lin ang="0" scaled="1"/>
        </a:gradFill>
        <a:gradFill rotWithShape="1">
          <a:gsLst>
            <a:gs pos="0">
              <a:schemeClr val="phClr">
                <a:shade val="38000"/>
                <a:satMod val="150000"/>
              </a:schemeClr>
            </a:gs>
            <a:gs pos="50000">
              <a:schemeClr val="phClr">
                <a:shade val="100000"/>
                <a:satMod val="100000"/>
              </a:schemeClr>
            </a:gs>
            <a:gs pos="100000">
              <a:schemeClr val="phClr">
                <a:shade val="38000"/>
                <a:satMod val="150000"/>
              </a:schemeClr>
            </a:gs>
          </a:gsLst>
          <a:lin ang="0" scaled="1"/>
        </a:grad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59DA58-3CA2-4856-9A51-CD581AE1A768}">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682</Words>
  <Characters>3889</Characters>
  <Application>Microsoft Office Word</Application>
  <DocSecurity>0</DocSecurity>
  <Lines>32</Lines>
  <Paragraphs>9</Paragraphs>
  <ScaleCrop>false</ScaleCrop>
  <Company>Microsoft</Company>
  <LinksUpToDate>false</LinksUpToDate>
  <CharactersWithSpaces>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lastModifiedBy>微软用户</cp:lastModifiedBy>
  <cp:revision>10</cp:revision>
  <cp:lastPrinted>2019-09-27T00:42:00Z</cp:lastPrinted>
  <dcterms:created xsi:type="dcterms:W3CDTF">2021-05-25T05:46:00Z</dcterms:created>
  <dcterms:modified xsi:type="dcterms:W3CDTF">2021-05-25T08:01:00Z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