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ind w:firstLine="880" w:firstLineChars="200"/>
        <w:jc w:val="center"/>
        <w:rPr>
          <w:rFonts w:ascii="Times New Roman" w:hAnsi="Times New Roman" w:eastAsia="仿宋_GB2312" w:cs="Times New Roman"/>
          <w:sz w:val="44"/>
          <w:szCs w:val="44"/>
        </w:rPr>
      </w:pPr>
      <w:bookmarkStart w:id="3" w:name="_GoBack"/>
      <w:bookmarkEnd w:id="3"/>
    </w:p>
    <w:p>
      <w:pPr>
        <w:spacing w:line="584" w:lineRule="exact"/>
        <w:ind w:firstLine="880" w:firstLineChars="200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84" w:lineRule="exact"/>
        <w:ind w:firstLine="880" w:firstLineChars="20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廊坊市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文安县工商业联合会</w:t>
      </w:r>
      <w:r>
        <w:rPr>
          <w:rFonts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 w:cs="Times New Roman"/>
          <w:sz w:val="44"/>
          <w:szCs w:val="44"/>
        </w:rPr>
        <w:t>年部门预算信息公开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情况说明</w:t>
      </w:r>
    </w:p>
    <w:p>
      <w:pPr>
        <w:spacing w:line="584" w:lineRule="exact"/>
        <w:ind w:firstLine="880" w:firstLineChars="200"/>
        <w:jc w:val="center"/>
        <w:rPr>
          <w:rFonts w:ascii="Times New Roman" w:hAnsi="Times New Roman" w:eastAsia="仿宋_GB2312" w:cs="Times New Roman"/>
          <w:sz w:val="44"/>
          <w:szCs w:val="44"/>
        </w:rPr>
      </w:pPr>
    </w:p>
    <w:p>
      <w:pPr>
        <w:spacing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按照《中华人民共和国预算法》、《中华人民共和国预算法实施条例》、《地方预决算公开操作规程》和《河北省省级预算公开办法》规定，现将廊坊市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文安县工商业联合会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年部门预算公开如下：</w:t>
      </w:r>
    </w:p>
    <w:p>
      <w:pPr>
        <w:spacing w:line="58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一、部门职责及机构设置情况</w:t>
      </w:r>
    </w:p>
    <w:p>
      <w:pPr>
        <w:spacing w:line="584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部门职责：</w:t>
      </w:r>
    </w:p>
    <w:p>
      <w:pPr>
        <w:rPr>
          <w:rFonts w:hint="default"/>
          <w:lang w:val="en-US" w:eastAsia="zh-CN"/>
        </w:rPr>
      </w:pPr>
    </w:p>
    <w:p>
      <w:pPr>
        <w:ind w:firstLine="1280" w:firstLineChars="400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第一条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加强和改进非公有制经济人士思想政治工作。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一）引导会员践行社会主义核心价值体系，树立中国特色社会主义共同理想，树立义利兼顾、以义为先理念，学习、贯彻党和国家的方针政策，发扬自我教育的优良传统，自觉地把自身企业的发展与国家的发展结合起来，把个人富裕与全体人民的共同富裕结合起来，把遵循市场法则与发扬社会主义道德结合起来，爱国、敬业、诚信、守法、贡献，当好中国特色社会主义事业建设者，表彰宣传他们中的先进典型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  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（二）引导会员弘扬中华民族传统美德，致富思源、富而思进，积极承担社会责任，热心公益事业，投身光彩事业。加强企业文化建设，支持企业党建工作，并为党组织开展活动、发挥作用提供必要条件。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    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第二条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参与政治协商，发挥民主监督作用，积极参政议政。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  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（一）密切同非公有制经济人士的联系，深入了解他们的意愿和要求，向党和政府提出相关意见和建议。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  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（二）参与国家有关方针政策、法律法规的制定和贯彻执行，促进非公有制经济市场环境、政策环境、法治环境、社会环境的改善。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（三）帮助非公有制经济代表人士提高参政议政能力和水平，积极反映社情民意，有序参与政治生活和社会事务。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（四）做好非公有制经济代表人士政治安排的推荐工作。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第三条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协助政府管理和服务非公有制经济。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一）积极探索建立适应社会主义市场经济要求的服务载体和机制，为非公有制企业提供信息、法律、融资、技术、人才等方面服务，引导非公有制企业按照科学发展观要求，加快经济发展方式转变和产业优化升级，推进结构调整和自主创新，不断增强市场竞争能力、抵御风险能力和可持续发展能力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（二）增强与香港、澳门特别行政区和台湾地区工商界人士的联系，促进经贸合作。积极开展民间外交，加强同国外工商界的交流合作，为非公有制企业开展国际合作提供服务。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（三）承办政府和有关部门委托事项。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    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第四条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促进行业协会商会改革发展。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（一）履行社会团体业务主管单位职责，指导和推动商会组织完善法人治理结构、规范内部管理、依照法律和章程开展活动，发挥宣传政策、提供服务、反映诉求、维护权益、加强自律的作用。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（二）参与行业协会商会政策法律的制定。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第五条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参与协调劳动关系，促进社会和谐稳定。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（一）参与协调劳动关系三方会议，同人力资源社会保障部门、工会组织和其他有关企业方代表一道，共同推动劳动关系立法和劳动关系协调机制建设，共同研究解决劳动关系中的重大问题和调处劳动争议。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（二）引导非公有制企业依法与工会就职工工资、生活福利、社会保险等涉及职工切身利益问题进行平等协商，签订集体合同。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（三）协调处理投资者利益和劳动者权益的关系，引导非公有制企业建立和谐劳动关系，积极创造就业岗位，严格遵守国家相关法律法规和政策措施，尊重和维护员工合法权益，依法建立工会组织，开展工会活动。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br w:type="textWrapping"/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 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 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第六条</w:t>
      </w:r>
      <w:r>
        <w:rPr>
          <w:rFonts w:hint="default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/>
        </w:rPr>
        <w:t>代表并维护会员的合法权益，反映会员的意见、要求和建议，参与经济纠纷的调解、仲裁。</w:t>
      </w:r>
    </w:p>
    <w:p>
      <w:pPr>
        <w:ind w:firstLine="640" w:firstLineChars="200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</w:rPr>
        <w:t>承办县政府交办的其他事项</w:t>
      </w:r>
    </w:p>
    <w:p>
      <w:pPr>
        <w:spacing w:line="584" w:lineRule="exact"/>
        <w:ind w:firstLine="660"/>
        <w:rPr>
          <w:rFonts w:hint="default"/>
          <w:lang w:val="en-US" w:eastAsia="zh-CN"/>
        </w:rPr>
      </w:pPr>
    </w:p>
    <w:p>
      <w:pPr>
        <w:spacing w:line="584" w:lineRule="exact"/>
        <w:ind w:firstLine="66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84" w:lineRule="exact"/>
        <w:ind w:firstLine="630" w:firstLineChars="196"/>
        <w:jc w:val="left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机构设置：</w:t>
      </w:r>
    </w:p>
    <w:p>
      <w:pPr>
        <w:spacing w:line="584" w:lineRule="exact"/>
        <w:jc w:val="center"/>
        <w:outlineLvl w:val="0"/>
        <w:rPr>
          <w:rFonts w:ascii="Times New Roman" w:hAnsi="Times New Roman" w:eastAsia="仿宋_GB2312" w:cs="Times New Roman"/>
          <w:b/>
          <w:sz w:val="32"/>
          <w:szCs w:val="24"/>
        </w:rPr>
      </w:pPr>
      <w:r>
        <w:rPr>
          <w:rFonts w:ascii="Times New Roman" w:hAnsi="Times New Roman" w:eastAsia="仿宋_GB2312" w:cs="Times New Roman"/>
          <w:b/>
          <w:sz w:val="32"/>
          <w:szCs w:val="24"/>
        </w:rPr>
        <w:t>部门机构设置情况</w:t>
      </w:r>
    </w:p>
    <w:tbl>
      <w:tblPr>
        <w:tblStyle w:val="9"/>
        <w:tblW w:w="975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3"/>
        <w:gridCol w:w="1134"/>
        <w:gridCol w:w="1276"/>
        <w:gridCol w:w="29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4443" w:type="dxa"/>
            <w:vMerge w:val="restart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单位名称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单位性质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单位规格</w:t>
            </w:r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szCs w:val="24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tblHeader/>
          <w:jc w:val="center"/>
        </w:trPr>
        <w:tc>
          <w:tcPr>
            <w:tcW w:w="4443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vMerge w:val="continue"/>
            <w:shd w:val="clear" w:color="auto" w:fill="auto"/>
            <w:vAlign w:val="center"/>
          </w:tcPr>
          <w:p/>
        </w:tc>
        <w:tc>
          <w:tcPr>
            <w:tcW w:w="1276" w:type="dxa"/>
            <w:vMerge w:val="continue"/>
            <w:shd w:val="clear" w:color="auto" w:fill="auto"/>
            <w:vAlign w:val="center"/>
          </w:tcPr>
          <w:p/>
        </w:tc>
        <w:tc>
          <w:tcPr>
            <w:tcW w:w="2902" w:type="dxa"/>
            <w:vMerge w:val="continue"/>
            <w:shd w:val="clear" w:color="auto" w:fill="auto"/>
            <w:vAlign w:val="center"/>
          </w:tcPr>
          <w:p/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43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工商业联合会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群众团体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科级</w:t>
            </w: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lang w:val="en-US" w:eastAsia="zh-CN"/>
              </w:rPr>
              <w:t>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43" w:type="dxa"/>
            <w:shd w:val="clear" w:color="auto" w:fill="auto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43" w:type="dxa"/>
            <w:shd w:val="clear" w:color="auto" w:fill="auto"/>
            <w:vAlign w:val="center"/>
          </w:tcPr>
          <w:p>
            <w:pPr>
              <w:spacing w:line="584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spacing w:line="584" w:lineRule="exact"/>
        <w:ind w:firstLine="640" w:firstLineChars="200"/>
        <w:rPr>
          <w:rFonts w:ascii="Times New Roman" w:hAnsi="Times New Roman" w:eastAsia="仿宋" w:cs="Times New Roman"/>
          <w:color w:val="FF0000"/>
          <w:sz w:val="32"/>
          <w:szCs w:val="32"/>
        </w:rPr>
      </w:pPr>
    </w:p>
    <w:p>
      <w:pPr>
        <w:spacing w:line="58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二、部门预算安排的总体情况</w:t>
      </w:r>
    </w:p>
    <w:p>
      <w:pPr>
        <w:spacing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按照预算管理有关规定，目前我市部门预算的编制实行综合预算制度，即全部收入和支出都反映在预算中。廊坊市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文安县工商业联合会</w:t>
      </w:r>
      <w:r>
        <w:rPr>
          <w:rFonts w:ascii="Times New Roman" w:hAnsi="Times New Roman" w:eastAsia="仿宋_GB2312" w:cs="Times New Roman"/>
          <w:sz w:val="32"/>
          <w:szCs w:val="32"/>
        </w:rPr>
        <w:t>的收支包含在部门预算中。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1、收入说明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反映本部门当年全部收入。20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55.28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万元，其中：一般公共预算收入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55.28</w:t>
      </w:r>
      <w:r>
        <w:rPr>
          <w:rFonts w:ascii="Times New Roman" w:hAnsi="Times New Roman" w:eastAsia="仿宋_GB2312" w:cs="Times New Roman"/>
          <w:sz w:val="32"/>
          <w:szCs w:val="32"/>
        </w:rPr>
        <w:t>万元，基金预算收入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万元，财政专户核拨收入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万元，其他来源收入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上年结转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</w:t>
      </w:r>
      <w:r>
        <w:rPr>
          <w:rFonts w:ascii="Times New Roman" w:hAnsi="Times New Roman" w:eastAsia="仿宋_GB2312" w:cs="Times New Roman"/>
          <w:sz w:val="32"/>
          <w:szCs w:val="32"/>
        </w:rPr>
        <w:t>（有则写，无则填0万元）。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2、支出说明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收支预算总表支出栏、基本支出表、项目支出表按经济分类和支出功能分类科目编制，反映廊坊市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文安县工商业</w:t>
      </w:r>
      <w:r>
        <w:rPr>
          <w:rFonts w:ascii="Times New Roman" w:hAnsi="Times New Roman" w:eastAsia="仿宋_GB2312" w:cs="Times New Roman"/>
          <w:sz w:val="32"/>
          <w:szCs w:val="32"/>
        </w:rPr>
        <w:t>年度部门预算中支出预算的总体情况。20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55.28</w:t>
      </w:r>
      <w:r>
        <w:rPr>
          <w:rFonts w:ascii="Times New Roman" w:hAnsi="Times New Roman" w:eastAsia="仿宋_GB2312" w:cs="Times New Roman"/>
          <w:sz w:val="32"/>
          <w:szCs w:val="32"/>
        </w:rPr>
        <w:t>万元，其中基本支出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55.28</w:t>
      </w:r>
      <w:r>
        <w:rPr>
          <w:rFonts w:ascii="Times New Roman" w:hAnsi="Times New Roman" w:eastAsia="仿宋_GB2312" w:cs="Times New Roman"/>
          <w:sz w:val="32"/>
          <w:szCs w:val="32"/>
        </w:rPr>
        <w:t>万元，包括人员类项目经费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48.98</w:t>
      </w:r>
      <w:r>
        <w:rPr>
          <w:rFonts w:ascii="Times New Roman" w:hAnsi="Times New Roman" w:eastAsia="仿宋_GB2312" w:cs="Times New Roman"/>
          <w:sz w:val="32"/>
          <w:szCs w:val="32"/>
        </w:rPr>
        <w:t>万元和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运转类</w:t>
      </w:r>
      <w:r>
        <w:rPr>
          <w:rFonts w:ascii="Times New Roman" w:hAnsi="Times New Roman" w:eastAsia="仿宋_GB2312" w:cs="Times New Roman"/>
          <w:sz w:val="32"/>
          <w:szCs w:val="32"/>
        </w:rPr>
        <w:t>公用经费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6.3</w:t>
      </w:r>
      <w:r>
        <w:rPr>
          <w:rFonts w:ascii="Times New Roman" w:hAnsi="Times New Roman" w:eastAsia="仿宋_GB2312" w:cs="Times New Roman"/>
          <w:sz w:val="32"/>
          <w:szCs w:val="32"/>
        </w:rPr>
        <w:t>万元；运转类其他及特定目标类项目支出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万元，包括本级支出；上缴上级支出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万元，；其他支出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万元，。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3、比上年增减情况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年预算收支安排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55.28</w:t>
      </w:r>
      <w:r>
        <w:rPr>
          <w:rFonts w:ascii="Times New Roman" w:hAnsi="Times New Roman" w:eastAsia="仿宋_GB2312" w:cs="Times New Roman"/>
          <w:sz w:val="32"/>
          <w:szCs w:val="32"/>
        </w:rPr>
        <w:t>万元，较20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减少12.13</w:t>
      </w:r>
      <w:r>
        <w:rPr>
          <w:rFonts w:ascii="Times New Roman" w:hAnsi="Times New Roman" w:eastAsia="仿宋_GB2312" w:cs="Times New Roman"/>
          <w:sz w:val="32"/>
          <w:szCs w:val="32"/>
        </w:rPr>
        <w:t>万元，其中：基本支出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减少12.13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项目支出增加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万元，主要为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项目支出。</w:t>
      </w:r>
    </w:p>
    <w:p>
      <w:pPr>
        <w:autoSpaceDE w:val="0"/>
        <w:autoSpaceDN w:val="0"/>
        <w:adjustRightInd w:val="0"/>
        <w:spacing w:line="584" w:lineRule="exact"/>
        <w:ind w:left="198"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三、机关运行经费安排情况</w:t>
      </w:r>
    </w:p>
    <w:p>
      <w:pPr>
        <w:autoSpaceDE w:val="0"/>
        <w:autoSpaceDN w:val="0"/>
        <w:adjustRightInd w:val="0"/>
        <w:spacing w:line="584" w:lineRule="exact"/>
        <w:ind w:left="198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年，我局机关运行经费共计安排元，主要用于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工商业联合会</w:t>
      </w:r>
      <w:r>
        <w:rPr>
          <w:rFonts w:ascii="Times New Roman" w:hAnsi="Times New Roman" w:eastAsia="仿宋_GB2312" w:cs="Times New Roman"/>
          <w:sz w:val="32"/>
          <w:szCs w:val="32"/>
        </w:rPr>
        <w:t>办公区的日常维修、办公用房水电费、办公用房取暖费、办公用房物业管理费等日常运行支出。</w:t>
      </w:r>
    </w:p>
    <w:p>
      <w:pPr>
        <w:autoSpaceDE w:val="0"/>
        <w:autoSpaceDN w:val="0"/>
        <w:adjustRightInd w:val="0"/>
        <w:spacing w:line="584" w:lineRule="exact"/>
        <w:ind w:firstLine="630" w:firstLineChars="196"/>
        <w:jc w:val="left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四、财政拨款“三公”经费预算情况及增减变化原因</w:t>
      </w:r>
    </w:p>
    <w:p>
      <w:pPr>
        <w:autoSpaceDE w:val="0"/>
        <w:autoSpaceDN w:val="0"/>
        <w:adjustRightInd w:val="0"/>
        <w:spacing w:line="584" w:lineRule="exact"/>
        <w:ind w:left="197" w:leftChars="94"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年，我局财政拨款“三公”经费预算安排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其中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因公出国（境）费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万元；公务用车购置及运维费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</w:t>
      </w:r>
      <w:r>
        <w:rPr>
          <w:rFonts w:ascii="Times New Roman" w:hAnsi="Times New Roman" w:eastAsia="仿宋_GB2312" w:cs="Times New Roman"/>
          <w:sz w:val="32"/>
          <w:szCs w:val="32"/>
        </w:rPr>
        <w:t>万元（其中：公务用车购置费为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万元，公务用车运维费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2.4</w:t>
      </w:r>
      <w:r>
        <w:rPr>
          <w:rFonts w:ascii="Times New Roman" w:hAnsi="Times New Roman" w:eastAsia="仿宋_GB2312" w:cs="Times New Roman"/>
          <w:sz w:val="32"/>
          <w:szCs w:val="32"/>
        </w:rPr>
        <w:t>万元)；公务接待费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万元。与20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相比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增加0.36</w:t>
      </w:r>
      <w:r>
        <w:rPr>
          <w:rFonts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其中，</w:t>
      </w:r>
      <w:r>
        <w:rPr>
          <w:rFonts w:ascii="Times New Roman" w:hAnsi="Times New Roman" w:eastAsia="仿宋_GB2312" w:cs="Times New Roman"/>
          <w:sz w:val="32"/>
          <w:szCs w:val="32"/>
        </w:rPr>
        <w:t>公务用车购置及运维费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增加0.36</w:t>
      </w:r>
      <w:r>
        <w:rPr>
          <w:rFonts w:ascii="Times New Roman" w:hAnsi="Times New Roman" w:eastAsia="仿宋_GB2312" w:cs="Times New Roman"/>
          <w:sz w:val="32"/>
          <w:szCs w:val="32"/>
        </w:rPr>
        <w:t>万元（其中：公务用车购置费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万元，公务用车运维费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增加0.36</w:t>
      </w:r>
      <w:r>
        <w:rPr>
          <w:rFonts w:ascii="Times New Roman" w:hAnsi="Times New Roman" w:eastAsia="仿宋_GB2312" w:cs="Times New Roman"/>
          <w:sz w:val="32"/>
          <w:szCs w:val="32"/>
        </w:rPr>
        <w:t>元)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主要原因是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公务用车维修费的增加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；公务接待费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sz w:val="32"/>
          <w:szCs w:val="32"/>
        </w:rPr>
        <w:t>主要原因是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（如：我部门切实落实勤俭节约各项规定，严格控制公务接待费支出。）</w:t>
      </w:r>
    </w:p>
    <w:p>
      <w:pPr>
        <w:spacing w:line="58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五、绩效预算信息</w:t>
      </w:r>
      <w:r>
        <w:rPr>
          <w:rFonts w:hint="eastAsia" w:ascii="仿宋_GB2312" w:eastAsia="仿宋_GB2312" w:cs="Times New Roman"/>
          <w:sz w:val="32"/>
          <w:szCs w:val="32"/>
        </w:rPr>
        <w:t>（与部门绩效文本内容保持一致）</w:t>
      </w:r>
    </w:p>
    <w:p>
      <w:pPr>
        <w:spacing w:line="58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第一部分 部门整体绩效目标</w:t>
      </w:r>
    </w:p>
    <w:p>
      <w:pPr>
        <w:spacing w:line="584" w:lineRule="exact"/>
        <w:ind w:firstLine="643" w:firstLineChars="200"/>
        <w:rPr>
          <w:rFonts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（一）总体绩效目标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县工商联作为政府管理全县非公有制经济的抓手和载体，全力搭建优质服务平台，有效促进非公有制经济健康发展，工商联组织不断发展壮大，桥梁纽带作用得到充分发挥。参政议政是工商联在新时期的一项重要工作职能，是工商联当好政府助手、联系非公有制经济的桥梁纽带作用的具体体现；加强培训，提升素质。针对我县民营企业管理水平不高，现代企业管理知识不多，企业缺乏竞争力的现状，采取走出去和请进来的方式，加大培训力度；银企对接，搞好融资。县工商联和邮储银行签属为期三年的战略合作协议。先后组织邮储银行、张家口银行等开展银企对接活动；拓宽思路，创新方法。县工商联不断促进与异地工商界经贸交往，与异地工商联建立友好商会。同时，双方定期或不定期互访，一方面交流参政议政、服务会员、组织建设等方面做法与经验；另一方面互通两地经贸活动动态与信息，为促进两地经贸往来及会员企业之间投资合作牵线搭桥；第三为双方招工、招商等活动搭建服务平台，最终达到合作共赢，共同提高的目的。</w:t>
      </w:r>
    </w:p>
    <w:p>
      <w:pPr>
        <w:spacing w:line="584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pacing w:line="584" w:lineRule="exact"/>
        <w:ind w:firstLine="643" w:firstLineChars="200"/>
        <w:rPr>
          <w:rFonts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（二）分项绩效目标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（一）宣传贯彻党的方针政策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1、绩效目标：深入学习宣传党的十九大会议精神|中共十九大精神、《关于营造更好发展环境，支持民营企业改革发展的意见》等。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绩效指标：组织工商联主席会长，集中学习宣传和贯彻落实党的十九大精神，同时，结合自己工作实际及企业发展情况，要把十九大精神内化为企业创新发展、转型升级的强大动力。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2、绩效目标：进一步加强工商联自身建设和基层组织建设。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绩效指标：从运行机制、内部机构设置、相关制度建设等进一步完善，确保工商联党组织及各分会规范有序运行。       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（二）搭建服务平台，提供更加完善的服务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1、绩效目标：为加大会员的服务和培训力度，提升非公经济人士的整体素质。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绩效指标：促进企业转型升级，组织开展多种形式的学习培训。通过学习考察，培训达到开阔视野、拓展思维、增长见识的目的。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2、绩效目标：破解企业融资困难的瓶颈制约。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绩效指标：积极组织银企、政企对接活动。充分利用主席、会长会议的时机邀请金融机构和职能部门的主要领导参加会议，进行对接交流，从而促进企业的发展。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绩效目标：广泛开展经济联络，引导企业家发现新的商机，开辟新的领域。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绩效指标：充分发挥商（协）会和重点企业作用，持续推进异地工商联的交流和推介，组织异地交流活动。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（三）高度重视精准扶贫工作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绩效目标：全面落实习近平总书记重要指示精神，提高精准扶贫质量。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绩效指标：加大精准扶贫力度，引导企业家结合实际，有针对性的提供救助，从资金、创业、就业、就学等方面拓宽救助渠道，确保收到实效，实现稳定脱贫。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 （四）引导企业转型升级，创新、绿色、高产能发展。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绩效目标：引导企业向高质量发展。</w:t>
      </w:r>
    </w:p>
    <w:p>
      <w:pPr>
        <w:spacing w:line="584" w:lineRule="exact"/>
        <w:ind w:firstLine="640" w:firstLineChars="200"/>
        <w:rPr>
          <w:rFonts w:ascii="楷体_GB2312" w:eastAsia="楷体_GB2312" w:cs="Times New Roman"/>
          <w:b/>
          <w:sz w:val="32"/>
          <w:szCs w:val="32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绩效指标：积极响应国家政策号召，结合市场发展需求，引导企业发展壮大作好转型升级和产业调整。</w:t>
      </w:r>
      <w:r>
        <w:rPr>
          <w:rFonts w:hint="eastAsia" w:ascii="楷体_GB2312" w:eastAsia="楷体_GB2312" w:cs="Times New Roman"/>
          <w:b/>
          <w:sz w:val="32"/>
          <w:szCs w:val="32"/>
        </w:rPr>
        <w:t>（三）工作保障措施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文安县工商联在县委、县政府的正确领导下，深入学习贯彻习近平新时代中国特色社会主义思想，围绕县委、县政府工作目标任务，坚持加强和引导非公经济健康、稳定、持续发展，搭建政府与非公经济的桥梁和纽带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一）积极引导企业家参政议政。民营企业家肩负着社会责任，积极参政议政，奉献社会。结合文安当前经济发展形势，立足自身行业领域，就我县企业转型、企业投资、落实环保政策、拆迁征地、土地利用、招商引资、公益事业等方面提出意见建议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（二）加大培训力度。使企业家们拓宽了思路，开阔了视野，提升了自身素质，也为引导企业转型升级奠定了基础，指明了方向。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(三)破解企业融资难。积极组织河北银行、邮储银行、廊坊银行同企业召开银、企对接活动，并和邮储银行签属为期三年的战略合作协议。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 （四）广泛开展经济联络。利用“友好商会”的平台，开展交流与合作，引导企业家发现新的商机，开辟新的领域。力争在转型升级加快发展方面，吸取经验，充分发挥商（协）会和重点企业作用。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（四）高度重视精准扶贫工作。全面落实习近平总书记重要指示精神，提高精准扶贫质量。加大精准扶贫力度，充分发挥导向引领作用。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（五）引导企业转型升级，创新、绿色、高产能发展。积极响应国家政策号召，结合市场发展需求，为企业发展壮大作好转型升级和产业调整。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（六）抓好非公经济党建工作。推动党的组织和党的工作向非公有制经济领域有效覆盖，不断夯实党执政的群众基础和社会基础，确保党和国家的方针政策在非公有制经济领域的贯彻落实。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>（七）完善制度建设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制定完善预算绩效管理制度、资金管理办法、工作保障制度，为全年预算绩效目标的实现奠定制度基础。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（八）加强支出管理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通过优化支出结构、编细编实预算、尽快启动项目、及时支付资金，确保支出进度达标。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（九）加强绩效运行监控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按要求开展绩效运行监控，发现问题及时采取措施，确保绩效目标如期保质实现。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（十）做好绩效自评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按要求开展上年度部门预算绩效自评和重点评价工作，对评价中发现的问题及时整改，调整优化支出结构，提高财政资金使用效益。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（十一）规范财务资产管理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完善财务管理制度，严格审批程序，加强固定资产登记、使用和报废处置管理，做到支出合理，物尽其用。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（十二）加强内部监督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Arial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-SA"/>
        </w:rPr>
        <w:t xml:space="preserve">  加强内部监督制度建设，对绩效运行情况、重大支出决策、资产处置及其他重要经济业务事项的决策和执行进行督导，确保财政资金安全有效。               </w:t>
      </w:r>
    </w:p>
    <w:p>
      <w:pPr>
        <w:spacing w:line="584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overflowPunct w:val="0"/>
        <w:adjustRightInd w:val="0"/>
        <w:snapToGrid w:val="0"/>
        <w:spacing w:afterLines="50" w:line="580" w:lineRule="exact"/>
        <w:ind w:firstLine="630" w:firstLineChars="196"/>
        <w:jc w:val="left"/>
        <w:rPr>
          <w:rFonts w:ascii="楷体_GB2312" w:eastAsia="楷体_GB2312" w:cs="Times New Roman"/>
          <w:b/>
          <w:sz w:val="32"/>
          <w:szCs w:val="32"/>
        </w:rPr>
      </w:pPr>
      <w:r>
        <w:rPr>
          <w:rFonts w:hint="eastAsia" w:ascii="楷体_GB2312" w:eastAsia="楷体_GB2312" w:cs="Times New Roman"/>
          <w:b/>
          <w:sz w:val="32"/>
          <w:szCs w:val="32"/>
        </w:rPr>
        <w:t>（四）部门整体支出绩效指标</w:t>
      </w:r>
    </w:p>
    <w:tbl>
      <w:tblPr>
        <w:tblStyle w:val="9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558"/>
        <w:gridCol w:w="825"/>
        <w:gridCol w:w="897"/>
        <w:gridCol w:w="2172"/>
        <w:gridCol w:w="1483"/>
        <w:gridCol w:w="543"/>
        <w:gridCol w:w="488"/>
        <w:gridCol w:w="573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326" w:hRule="atLeast"/>
          <w:tblHeader/>
          <w:jc w:val="center"/>
        </w:trPr>
        <w:tc>
          <w:tcPr>
            <w:tcW w:w="5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一级指标</w:t>
            </w:r>
          </w:p>
        </w:tc>
        <w:tc>
          <w:tcPr>
            <w:tcW w:w="8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二级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</w:t>
            </w:r>
          </w:p>
        </w:tc>
        <w:tc>
          <w:tcPr>
            <w:tcW w:w="89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三级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</w:t>
            </w:r>
          </w:p>
        </w:tc>
        <w:tc>
          <w:tcPr>
            <w:tcW w:w="21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评（扣）分标准</w:t>
            </w:r>
          </w:p>
        </w:tc>
        <w:tc>
          <w:tcPr>
            <w:tcW w:w="14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绩效指标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描述</w:t>
            </w:r>
          </w:p>
        </w:tc>
        <w:tc>
          <w:tcPr>
            <w:tcW w:w="16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</w:tc>
        <w:tc>
          <w:tcPr>
            <w:tcW w:w="127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指标值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33" w:hRule="atLeast"/>
          <w:tblHeader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9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72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483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符号</w:t>
            </w: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值</w:t>
            </w: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单位</w:t>
            </w:r>
          </w:p>
        </w:tc>
        <w:tc>
          <w:tcPr>
            <w:tcW w:w="1277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594" w:hRule="atLeast"/>
          <w:jc w:val="center"/>
        </w:trPr>
        <w:tc>
          <w:tcPr>
            <w:tcW w:w="5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部门产出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数量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4" w:hRule="atLeast"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质量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458" w:hRule="atLeast"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时效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4" w:hRule="atLeast"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成本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4" w:hRule="atLeast"/>
          <w:jc w:val="center"/>
        </w:trPr>
        <w:tc>
          <w:tcPr>
            <w:tcW w:w="5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部门</w:t>
            </w:r>
            <w:r>
              <w:rPr>
                <w:rFonts w:hint="eastAsia" w:ascii="方正书宋_GBK" w:eastAsia="方正书宋_GBK"/>
              </w:rPr>
              <w:t>效果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社会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效益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4" w:hRule="atLeast"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经济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14" w:hRule="atLeast"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生态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效益</w:t>
            </w:r>
          </w:p>
        </w:tc>
        <w:tc>
          <w:tcPr>
            <w:tcW w:w="89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770" w:hRule="atLeast"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可持续影响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trHeight w:val="604" w:hRule="atLeast"/>
          <w:jc w:val="center"/>
        </w:trPr>
        <w:tc>
          <w:tcPr>
            <w:tcW w:w="558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满意度</w:t>
            </w:r>
          </w:p>
        </w:tc>
        <w:tc>
          <w:tcPr>
            <w:tcW w:w="8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217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4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4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57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="方正书宋_GBK" w:eastAsia="方正书宋_GBK"/>
              </w:rPr>
            </w:pPr>
          </w:p>
        </w:tc>
      </w:tr>
    </w:tbl>
    <w:p>
      <w:pPr>
        <w:spacing w:line="584" w:lineRule="exact"/>
        <w:rPr>
          <w:rFonts w:ascii="仿宋_GB2312" w:eastAsia="仿宋_GB2312" w:cs="Times New Roman"/>
          <w:sz w:val="32"/>
          <w:szCs w:val="32"/>
        </w:rPr>
      </w:pPr>
    </w:p>
    <w:p>
      <w:pPr>
        <w:spacing w:line="584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第二部分 资金绩效目标</w:t>
      </w:r>
    </w:p>
    <w:p>
      <w:pPr>
        <w:ind w:firstLine="560" w:firstLineChars="200"/>
        <w:jc w:val="left"/>
        <w:outlineLvl w:val="1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1.****（项目名称）绩效目标表</w:t>
      </w:r>
      <w:bookmarkStart w:id="0" w:name="_Toc29799657"/>
      <w:bookmarkEnd w:id="0"/>
      <w:r>
        <w:rPr>
          <w:rFonts w:ascii="Times New Roman" w:hAnsi="Times New Roman" w:eastAsia="仿宋_GB2312" w:cs="Times New Roman"/>
          <w:vanish/>
          <w:sz w:val="28"/>
        </w:rPr>
        <w:t>{ TC 2、办公自动化（OA）和督查督办系统升级及推广费绩效目标表 \f C \l 1 }</w:t>
      </w:r>
    </w:p>
    <w:p>
      <w:pPr>
        <w:spacing w:line="14" w:lineRule="exact"/>
        <w:ind w:firstLine="420" w:firstLineChars="200"/>
        <w:jc w:val="center"/>
        <w:rPr>
          <w:rFonts w:ascii="Times New Roman" w:hAnsi="Times New Roman" w:eastAsia="仿宋_GB2312" w:cs="Times New Roman"/>
        </w:rPr>
      </w:pPr>
    </w:p>
    <w:tbl>
      <w:tblPr>
        <w:tblStyle w:val="9"/>
        <w:tblW w:w="140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268"/>
        <w:gridCol w:w="1985"/>
        <w:gridCol w:w="3402"/>
        <w:gridCol w:w="1843"/>
        <w:gridCol w:w="2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绩效目标</w:t>
            </w:r>
          </w:p>
        </w:tc>
        <w:tc>
          <w:tcPr>
            <w:tcW w:w="11653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一级指标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二级指标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三级指标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绩效指标描述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指标值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产出指标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效果指标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满意度指标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ind w:firstLine="560" w:firstLineChars="200"/>
        <w:jc w:val="left"/>
        <w:outlineLvl w:val="1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2.****（项目名称）绩效目标表</w:t>
      </w:r>
      <w:r>
        <w:rPr>
          <w:rFonts w:ascii="Times New Roman" w:hAnsi="Times New Roman" w:eastAsia="仿宋_GB2312" w:cs="Times New Roman"/>
          <w:vanish/>
          <w:sz w:val="28"/>
        </w:rPr>
        <w:t>{ TC 2、办公自动化（OA）和督查督办系统升级及推广费绩效目标表 \f C \l 1 }</w:t>
      </w:r>
    </w:p>
    <w:p>
      <w:pPr>
        <w:spacing w:line="14" w:lineRule="exact"/>
        <w:ind w:firstLine="420" w:firstLineChars="200"/>
        <w:jc w:val="center"/>
        <w:rPr>
          <w:rFonts w:ascii="Times New Roman" w:hAnsi="Times New Roman" w:eastAsia="仿宋_GB2312" w:cs="Times New Roman"/>
        </w:rPr>
      </w:pPr>
    </w:p>
    <w:tbl>
      <w:tblPr>
        <w:tblStyle w:val="9"/>
        <w:tblW w:w="1406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2268"/>
        <w:gridCol w:w="1985"/>
        <w:gridCol w:w="3402"/>
        <w:gridCol w:w="1843"/>
        <w:gridCol w:w="2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绩效目标</w:t>
            </w:r>
          </w:p>
        </w:tc>
        <w:tc>
          <w:tcPr>
            <w:tcW w:w="11653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 w:cs="Times New Roman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一级指标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二级指标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三级指标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绩效指标描述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指标值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产出指标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效果指标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vMerge w:val="continue"/>
            <w:shd w:val="clear" w:color="auto" w:fill="auto"/>
            <w:vAlign w:val="center"/>
          </w:tcPr>
          <w:p/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24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满意度指标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</w:tbl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六、政府采购预算情况</w:t>
      </w:r>
    </w:p>
    <w:p>
      <w:pPr>
        <w:spacing w:line="584" w:lineRule="exact"/>
        <w:ind w:firstLine="640" w:firstLineChars="200"/>
        <w:outlineLvl w:val="0"/>
        <w:rPr>
          <w:rFonts w:ascii="Times New Roman" w:hAnsi="Times New Roman" w:eastAsia="仿宋_GB2312" w:cs="Times New Roman"/>
          <w:sz w:val="32"/>
          <w:szCs w:val="24"/>
        </w:rPr>
      </w:pPr>
      <w:bookmarkStart w:id="1" w:name="_Toc471398468"/>
      <w:r>
        <w:rPr>
          <w:rFonts w:ascii="Times New Roman" w:hAnsi="Times New Roman" w:eastAsia="仿宋_GB2312" w:cs="Times New Roman"/>
          <w:sz w:val="32"/>
          <w:szCs w:val="24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24"/>
        </w:rPr>
        <w:t>年，我部门安排政府采购预算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***</w:t>
      </w:r>
      <w:r>
        <w:rPr>
          <w:rFonts w:ascii="Times New Roman" w:hAnsi="Times New Roman" w:eastAsia="仿宋_GB2312" w:cs="Times New Roman"/>
          <w:sz w:val="32"/>
          <w:szCs w:val="24"/>
        </w:rPr>
        <w:t>万元。具体内容见下表。</w:t>
      </w:r>
    </w:p>
    <w:bookmarkEnd w:id="1"/>
    <w:p>
      <w:pPr>
        <w:spacing w:line="584" w:lineRule="exact"/>
        <w:jc w:val="left"/>
        <w:outlineLvl w:val="0"/>
        <w:rPr>
          <w:rFonts w:ascii="Times New Roman" w:hAnsi="Times New Roman" w:eastAsia="仿宋_GB2312" w:cs="Times New Roman"/>
        </w:rPr>
      </w:pPr>
    </w:p>
    <w:p>
      <w:pPr>
        <w:jc w:val="center"/>
        <w:outlineLvl w:val="1"/>
        <w:rPr>
          <w:rFonts w:ascii="Times New Roman" w:hAnsi="Times New Roman" w:cs="Times New Roman"/>
          <w:sz w:val="32"/>
        </w:rPr>
      </w:pPr>
      <w:bookmarkStart w:id="2" w:name="_Toc64920910"/>
      <w:r>
        <w:rPr>
          <w:rFonts w:hint="eastAsia" w:ascii="方正小标宋_GBK" w:eastAsia="方正小标宋_GBK" w:cs="Times New Roman"/>
          <w:sz w:val="32"/>
        </w:rPr>
        <w:t>部门政府采购预算</w:t>
      </w:r>
      <w:bookmarkEnd w:id="2"/>
    </w:p>
    <w:tbl>
      <w:tblPr>
        <w:tblStyle w:val="9"/>
        <w:tblW w:w="1550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134"/>
        <w:gridCol w:w="1531"/>
        <w:gridCol w:w="1531"/>
        <w:gridCol w:w="709"/>
        <w:gridCol w:w="907"/>
        <w:gridCol w:w="907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870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 w:cs="Times New Roman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***</w:t>
            </w:r>
            <w:r>
              <w:rPr>
                <w:rFonts w:ascii="方正小标宋_GBK" w:eastAsia="方正小标宋_GBK" w:cs="Times New Roman"/>
                <w:sz w:val="24"/>
              </w:rPr>
              <w:t>廊坊市</w:t>
            </w:r>
            <w:r>
              <w:rPr>
                <w:rFonts w:hint="eastAsia" w:ascii="方正小标宋_GBK" w:eastAsia="方正小标宋_GBK"/>
                <w:sz w:val="24"/>
              </w:rPr>
              <w:t>***</w:t>
            </w:r>
          </w:p>
        </w:tc>
        <w:tc>
          <w:tcPr>
            <w:tcW w:w="68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sz w:val="24"/>
              </w:rPr>
            </w:pPr>
            <w:r>
              <w:rPr>
                <w:rFonts w:ascii="方正书宋_GBK" w:eastAsia="方正书宋_GBK" w:cs="Times New Roman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政府采购项目来源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采购物品名称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政府采购目录序号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计量  单位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数量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单价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政府采购金额（当年部门预算安排资金）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项目名称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预算资金</w:t>
            </w:r>
          </w:p>
        </w:tc>
        <w:tc>
          <w:tcPr>
            <w:tcW w:w="1531" w:type="dxa"/>
            <w:vMerge w:val="continue"/>
            <w:shd w:val="clear" w:color="auto" w:fill="auto"/>
            <w:vAlign w:val="center"/>
          </w:tcPr>
          <w:p/>
        </w:tc>
        <w:tc>
          <w:tcPr>
            <w:tcW w:w="1531" w:type="dxa"/>
            <w:vMerge w:val="continue"/>
            <w:shd w:val="clear" w:color="auto" w:fill="auto"/>
            <w:vAlign w:val="center"/>
          </w:tcPr>
          <w:p/>
        </w:tc>
        <w:tc>
          <w:tcPr>
            <w:tcW w:w="709" w:type="dxa"/>
            <w:vMerge w:val="continue"/>
            <w:shd w:val="clear" w:color="auto" w:fill="auto"/>
            <w:vAlign w:val="center"/>
          </w:tcPr>
          <w:p/>
        </w:tc>
        <w:tc>
          <w:tcPr>
            <w:tcW w:w="907" w:type="dxa"/>
            <w:vMerge w:val="continue"/>
            <w:shd w:val="clear" w:color="auto" w:fill="auto"/>
            <w:vAlign w:val="center"/>
          </w:tcPr>
          <w:p/>
        </w:tc>
        <w:tc>
          <w:tcPr>
            <w:tcW w:w="907" w:type="dxa"/>
            <w:vMerge w:val="continue"/>
            <w:shd w:val="clear" w:color="auto" w:fill="auto"/>
            <w:vAlign w:val="center"/>
          </w:tcPr>
          <w:p/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一般公共预算拨款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基金预算拨款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国有资本经营预算拨款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财政专户核拨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单位资金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  <w:r>
              <w:rPr>
                <w:rFonts w:ascii="方正书宋_GBK" w:eastAsia="方正书宋_GBK" w:cs="Times New Roman"/>
                <w:b/>
              </w:rPr>
              <w:t>合  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4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 w:cs="Times New Roman"/>
              </w:rPr>
            </w:pPr>
          </w:p>
        </w:tc>
      </w:tr>
    </w:tbl>
    <w:p>
      <w:pPr>
        <w:spacing w:line="584" w:lineRule="exact"/>
        <w:jc w:val="left"/>
        <w:outlineLvl w:val="0"/>
        <w:rPr>
          <w:rFonts w:ascii="Times New Roman" w:hAnsi="Times New Roman" w:eastAsia="仿宋_GB2312" w:cs="Times New Roman"/>
        </w:rPr>
        <w:sectPr>
          <w:footerReference r:id="rId3" w:type="default"/>
          <w:pgSz w:w="16839" w:h="11907" w:orient="landscape"/>
          <w:pgMar w:top="1361" w:right="1020" w:bottom="1361" w:left="1020" w:header="851" w:footer="992" w:gutter="0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七、国有资产信息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廊坊市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文安县工商业联合会</w:t>
      </w:r>
      <w:r>
        <w:rPr>
          <w:rFonts w:ascii="Times New Roman" w:hAnsi="Times New Roman" w:eastAsia="仿宋_GB2312" w:cs="Times New Roman"/>
          <w:sz w:val="32"/>
          <w:szCs w:val="32"/>
        </w:rPr>
        <w:t>上年末固定资产金额为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13.52</w:t>
      </w:r>
      <w:r>
        <w:rPr>
          <w:rFonts w:ascii="Times New Roman" w:hAnsi="Times New Roman" w:eastAsia="仿宋_GB2312" w:cs="Times New Roman"/>
          <w:sz w:val="32"/>
          <w:szCs w:val="32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（详见下表）</w:t>
      </w:r>
      <w:r>
        <w:rPr>
          <w:rFonts w:ascii="Times New Roman" w:hAnsi="Times New Roman" w:eastAsia="仿宋_GB2312" w:cs="Times New Roman"/>
          <w:sz w:val="32"/>
          <w:szCs w:val="32"/>
        </w:rPr>
        <w:t>，本年度我部门拟购置固定资产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总额为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1.68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ascii="Times New Roman" w:hAnsi="Times New Roman" w:eastAsia="仿宋_GB2312" w:cs="Times New Roman"/>
          <w:sz w:val="32"/>
          <w:szCs w:val="32"/>
        </w:rPr>
        <w:t>主要为计算机设备，已列入政府采购预算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详见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政府采购</w:t>
      </w:r>
      <w:r>
        <w:rPr>
          <w:rFonts w:ascii="Times New Roman" w:hAnsi="Times New Roman" w:eastAsia="仿宋_GB2312" w:cs="Times New Roman"/>
          <w:sz w:val="32"/>
          <w:szCs w:val="32"/>
        </w:rPr>
        <w:t>预算表。</w:t>
      </w:r>
    </w:p>
    <w:p>
      <w:pPr>
        <w:spacing w:line="584" w:lineRule="exact"/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9"/>
        <w:tblW w:w="133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4"/>
        <w:gridCol w:w="3155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32"/>
                <w:szCs w:val="32"/>
              </w:rPr>
              <w:t>廊坊市市直部门固定资产占用情况表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编制部门：廊坊市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eastAsia="zh-CN"/>
              </w:rPr>
              <w:t>文安县工商业联合会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截止时间：20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 xml:space="preserve">年12月31日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项   目</w:t>
            </w:r>
          </w:p>
        </w:tc>
        <w:tc>
          <w:tcPr>
            <w:tcW w:w="3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资产总额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——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13.52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1、房屋（平方米）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其中：办公用房（平方米）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2、车辆（台、辆）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11.15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3、单价在20万元以上的设备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2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84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4、其他固定资产</w:t>
            </w:r>
          </w:p>
        </w:tc>
        <w:tc>
          <w:tcPr>
            <w:tcW w:w="3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584" w:lineRule="exact"/>
              <w:jc w:val="center"/>
              <w:rPr>
                <w:rFonts w:hint="default" w:ascii="Times New Roman" w:hAnsi="Times New Roman" w:eastAsia="仿宋_GB2312" w:cs="Times New Roman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  <w:lang w:val="en-US" w:eastAsia="zh-CN"/>
              </w:rPr>
              <w:t>2.37</w:t>
            </w:r>
          </w:p>
        </w:tc>
      </w:tr>
    </w:tbl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八、名词解释</w:t>
      </w:r>
    </w:p>
    <w:p>
      <w:pPr>
        <w:pStyle w:val="8"/>
        <w:widowControl/>
        <w:shd w:val="clear" w:color="auto" w:fill="FFFFFF"/>
        <w:spacing w:before="0" w:beforeAutospacing="0" w:after="0" w:afterAutospacing="0" w:line="405" w:lineRule="atLeast"/>
        <w:ind w:firstLine="581" w:firstLineChars="181"/>
        <w:jc w:val="both"/>
        <w:rPr>
          <w:rFonts w:hint="eastAsia" w:ascii="仿宋_GB2312" w:hAnsi="Arial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1、一般公共预算拨款收入：</w:t>
      </w:r>
      <w:r>
        <w:rPr>
          <w:rFonts w:hint="eastAsia" w:ascii="仿宋_GB2312" w:hAnsi="Arial" w:eastAsia="仿宋_GB2312" w:cs="仿宋_GB2312"/>
          <w:color w:val="333333"/>
          <w:sz w:val="32"/>
          <w:szCs w:val="32"/>
          <w:shd w:val="clear" w:color="auto" w:fill="FFFFFF"/>
        </w:rPr>
        <w:t>用于保障和改善民生、推动经济社会发展、维护国家安全、维持国家机构正常运转等方面的收支预算。</w:t>
      </w:r>
    </w:p>
    <w:p>
      <w:pPr>
        <w:tabs>
          <w:tab w:val="left" w:pos="11490"/>
        </w:tabs>
        <w:spacing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基本支出：</w:t>
      </w:r>
      <w:r>
        <w:rPr>
          <w:rFonts w:ascii="Times New Roman" w:hAnsi="Times New Roman" w:eastAsia="仿宋_GB2312" w:cs="Times New Roman"/>
          <w:sz w:val="32"/>
          <w:szCs w:val="32"/>
        </w:rPr>
        <w:t>指为保障机构正常运转、完成日常工作任务而发生的人员支出和公用支出。</w:t>
      </w:r>
    </w:p>
    <w:p>
      <w:pPr>
        <w:tabs>
          <w:tab w:val="left" w:pos="11490"/>
        </w:tabs>
        <w:spacing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1490"/>
        </w:tabs>
        <w:spacing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“三公”经费：</w:t>
      </w:r>
      <w:r>
        <w:rPr>
          <w:rFonts w:ascii="Times New Roman" w:hAnsi="Times New Roman" w:eastAsia="仿宋_GB2312" w:cs="Times New Roman"/>
          <w:sz w:val="32"/>
          <w:szCs w:val="32"/>
        </w:rPr>
        <w:t>纳入省级财政预算管理的“三公”经费，是指省级部门用财政拨款安排的因公出国（境）费、公务用车购置及运维费和公务接待费。其中，因公出国（境）费反映单位公务出国（境）的住宿费、旅费、伙食补助费、杂费、培训费等支出；公务用车购置及运维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4.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机关运行费：</w:t>
      </w:r>
      <w:r>
        <w:rPr>
          <w:rFonts w:ascii="Times New Roman" w:hAnsi="Times New Roman" w:eastAsia="仿宋_GB2312" w:cs="Times New Roman"/>
          <w:sz w:val="32"/>
          <w:szCs w:val="32"/>
        </w:rPr>
        <w:t>为保障全部单位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tabs>
          <w:tab w:val="left" w:pos="11490"/>
        </w:tabs>
        <w:spacing w:line="584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5.</w:t>
      </w:r>
      <w:r>
        <w:rPr>
          <w:rFonts w:ascii="Times New Roman" w:hAnsi="Times New Roman" w:eastAsia="仿宋_GB2312" w:cs="Times New Roman"/>
          <w:b/>
          <w:sz w:val="32"/>
          <w:szCs w:val="32"/>
        </w:rPr>
        <w:t>上年结转：</w:t>
      </w:r>
      <w:r>
        <w:rPr>
          <w:rFonts w:ascii="Times New Roman" w:hAnsi="Times New Roman" w:eastAsia="仿宋_GB2312" w:cs="Times New Roman"/>
          <w:sz w:val="32"/>
          <w:szCs w:val="32"/>
        </w:rPr>
        <w:t>指以前年度尚未完成、结转到本年仍按原规定用途继续使用的资金。</w:t>
      </w:r>
    </w:p>
    <w:p>
      <w:pPr>
        <w:tabs>
          <w:tab w:val="left" w:pos="11490"/>
        </w:tabs>
        <w:spacing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spacing w:line="584" w:lineRule="exact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九、其他需要说明的事项</w:t>
      </w:r>
    </w:p>
    <w:p>
      <w:pPr>
        <w:spacing w:line="584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我部门无其他需要说明的事项。</w:t>
      </w:r>
    </w:p>
    <w:sectPr>
      <w:pgSz w:w="16838" w:h="11906" w:orient="landscape"/>
      <w:pgMar w:top="1800" w:right="1440" w:bottom="180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  <w:r>
      <w:rPr>
        <w:rFonts w:hint="eastAsia"/>
      </w:rP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VkMDc1NGFkZDhmM2EzODMxMWY1ZWZlNDczYzIifQ=="/>
  </w:docVars>
  <w:rsids>
    <w:rsidRoot w:val="00D347CC"/>
    <w:rsid w:val="00024592"/>
    <w:rsid w:val="004A54AA"/>
    <w:rsid w:val="008F75EB"/>
    <w:rsid w:val="00A706FE"/>
    <w:rsid w:val="00B80935"/>
    <w:rsid w:val="00D347CC"/>
    <w:rsid w:val="01ED61D4"/>
    <w:rsid w:val="08BB0E06"/>
    <w:rsid w:val="0C235D0E"/>
    <w:rsid w:val="0D090784"/>
    <w:rsid w:val="0EFC1144"/>
    <w:rsid w:val="19361734"/>
    <w:rsid w:val="1958344D"/>
    <w:rsid w:val="280944C7"/>
    <w:rsid w:val="315D22E6"/>
    <w:rsid w:val="34F10643"/>
    <w:rsid w:val="350E4332"/>
    <w:rsid w:val="39535D28"/>
    <w:rsid w:val="41055495"/>
    <w:rsid w:val="41486E63"/>
    <w:rsid w:val="48FE2FC6"/>
    <w:rsid w:val="49A17189"/>
    <w:rsid w:val="4A71765F"/>
    <w:rsid w:val="4F8552F0"/>
    <w:rsid w:val="58332007"/>
    <w:rsid w:val="5B140AC6"/>
    <w:rsid w:val="65646BE6"/>
    <w:rsid w:val="68815F58"/>
    <w:rsid w:val="6C9F33FE"/>
    <w:rsid w:val="6CDE1B78"/>
    <w:rsid w:val="7EAA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toc 1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cs="Times New Roman"/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200" w:leftChars="200"/>
    </w:pPr>
    <w:rPr>
      <w:rFonts w:ascii="Times New Roman" w:hAnsi="Times New Roman" w:cs="Times New Roman"/>
      <w:szCs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1">
    <w:name w:val="footnote reference"/>
    <w:qFormat/>
    <w:uiPriority w:val="0"/>
    <w:rPr>
      <w:vertAlign w:val="superscript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5274</Words>
  <Characters>5400</Characters>
  <Lines>23</Lines>
  <Paragraphs>6</Paragraphs>
  <TotalTime>253</TotalTime>
  <ScaleCrop>false</ScaleCrop>
  <LinksUpToDate>false</LinksUpToDate>
  <CharactersWithSpaces>5538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2020-01-13T03:27:00Z</dcterms:created>
  <dc:creator>guest</dc:creator>
  <cp:lastModifiedBy>染尘 ~9 Demon</cp:lastModifiedBy>
  <cp:lastPrinted>2021-03-26T06:13:00Z</cp:lastPrinted>
  <dcterms:modified xsi:type="dcterms:W3CDTF">2023-07-26T08:40:49Z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AC5C9000A8A24B97A7DCF7252C292AF2</vt:lpwstr>
  </property>
</Properties>
</file>