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color w:val="000000" w:themeColor="text1"/>
          <w:sz w:val="96"/>
          <w:szCs w:val="96"/>
        </w:rPr>
      </w:pPr>
      <w:r>
        <w:rPr>
          <w:sz w:val="84"/>
          <w:szCs w:val="84"/>
        </w:rPr>
        <w:t>201</w:t>
      </w:r>
      <w:r>
        <w:rPr>
          <w:rFonts w:hint="eastAsia"/>
          <w:sz w:val="84"/>
          <w:szCs w:val="84"/>
        </w:rPr>
        <w:t>8</w:t>
      </w:r>
      <w:r>
        <w:rPr>
          <w:sz w:val="84"/>
          <w:szCs w:val="84"/>
        </w:rPr>
        <w:t>年度部门决算公开</w:t>
      </w:r>
    </w:p>
    <w:p>
      <w:pPr>
        <w:widowControl/>
        <w:jc w:val="center"/>
        <w:rPr>
          <w:rFonts w:hAnsi="宋体" w:asciiTheme="minorEastAsia" w:eastAsiaTheme="minorEastAsia"/>
          <w:color w:val="002060"/>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hint="default" w:ascii="楷体" w:hAnsi="楷体" w:eastAsia="楷体" w:cs="楷体"/>
          <w:b/>
          <w:sz w:val="44"/>
          <w:szCs w:val="44"/>
          <w:lang w:val="en-US" w:eastAsia="zh-CN"/>
        </w:rPr>
        <w:sectPr>
          <w:pgSz w:w="11906" w:h="16838"/>
          <w:pgMar w:top="2098" w:right="1474" w:bottom="1985" w:left="1588" w:header="851" w:footer="992" w:gutter="0"/>
          <w:cols w:space="425" w:num="1"/>
          <w:docGrid w:type="lines" w:linePitch="312" w:charSpace="0"/>
        </w:sectPr>
      </w:pPr>
      <w:r>
        <w:rPr>
          <w:rFonts w:hint="eastAsia" w:eastAsia="楷体"/>
          <w:b/>
          <w:sz w:val="44"/>
          <w:szCs w:val="44"/>
          <w:lang w:val="en-US" w:eastAsia="zh-CN"/>
        </w:rPr>
        <w:t>文安县机构编制委员会办公室</w:t>
      </w:r>
    </w:p>
    <w:p>
      <w:pPr>
        <w:pageBreakBefore w:val="0"/>
        <w:widowControl/>
        <w:numPr>
          <w:ilvl w:val="0"/>
          <w:numId w:val="1"/>
        </w:numPr>
        <w:kinsoku/>
        <w:wordWrap/>
        <w:overflowPunct/>
        <w:topLinePunct w:val="0"/>
        <w:autoSpaceDE/>
        <w:autoSpaceDN/>
        <w:bidi w:val="0"/>
        <w:adjustRightInd w:val="0"/>
        <w:spacing w:after="0" w:line="240" w:lineRule="auto"/>
        <w:ind w:left="0" w:leftChars="0"/>
        <w:jc w:val="center"/>
        <w:textAlignment w:val="auto"/>
        <w:rPr>
          <w:rFonts w:hint="eastAsia" w:hAnsi="宋体" w:asciiTheme="minorEastAsia" w:eastAsiaTheme="minorEastAsia"/>
          <w:color w:val="000000" w:themeColor="text1"/>
          <w:sz w:val="84"/>
          <w:szCs w:val="84"/>
        </w:rPr>
      </w:pPr>
    </w:p>
    <w:p>
      <w:pPr>
        <w:pageBreakBefore w:val="0"/>
        <w:widowControl/>
        <w:numPr>
          <w:ilvl w:val="0"/>
          <w:numId w:val="0"/>
        </w:numPr>
        <w:kinsoku/>
        <w:wordWrap/>
        <w:overflowPunct/>
        <w:topLinePunct w:val="0"/>
        <w:autoSpaceDE/>
        <w:autoSpaceDN/>
        <w:bidi w:val="0"/>
        <w:adjustRightInd w:val="0"/>
        <w:spacing w:after="0" w:line="240" w:lineRule="auto"/>
        <w:jc w:val="center"/>
        <w:textAlignment w:val="auto"/>
        <w:rPr>
          <w:sz w:val="84"/>
          <w:szCs w:val="84"/>
        </w:rPr>
      </w:pPr>
      <w:r>
        <w:rPr>
          <w:rFonts w:hint="eastAsia" w:hAnsi="宋体" w:asciiTheme="minorEastAsia" w:eastAsiaTheme="minorEastAsia"/>
          <w:color w:val="000000" w:themeColor="text1"/>
          <w:sz w:val="84"/>
          <w:szCs w:val="84"/>
        </w:rPr>
        <w:t>部门概况</w:t>
      </w:r>
    </w:p>
    <w:p>
      <w:pPr>
        <w:pStyle w:val="2"/>
        <w:pageBreakBefore w:val="0"/>
        <w:kinsoku/>
        <w:wordWrap/>
        <w:overflowPunct/>
        <w:topLinePunct w:val="0"/>
        <w:autoSpaceDE/>
        <w:autoSpaceDN/>
        <w:bidi w:val="0"/>
        <w:adjustRightInd w:val="0"/>
        <w:spacing w:before="0" w:after="0" w:line="240" w:lineRule="auto"/>
        <w:ind w:left="0" w:leftChars="0"/>
        <w:jc w:val="left"/>
        <w:textAlignment w:val="auto"/>
        <w:rPr>
          <w:rFonts w:hint="eastAsia" w:ascii="黑体" w:eastAsia="黑体" w:cs="黑体" w:hAnsiTheme="minorHAnsi"/>
          <w:b w:val="0"/>
          <w:bCs w:val="0"/>
          <w:kern w:val="0"/>
          <w:sz w:val="32"/>
          <w:szCs w:val="32"/>
        </w:rPr>
      </w:pPr>
    </w:p>
    <w:p>
      <w:pPr>
        <w:pStyle w:val="2"/>
        <w:pageBreakBefore w:val="0"/>
        <w:kinsoku/>
        <w:wordWrap/>
        <w:overflowPunct/>
        <w:topLinePunct w:val="0"/>
        <w:autoSpaceDE/>
        <w:autoSpaceDN/>
        <w:bidi w:val="0"/>
        <w:adjustRightInd w:val="0"/>
        <w:spacing w:before="0" w:after="0" w:line="240" w:lineRule="auto"/>
        <w:ind w:left="0" w:leftChars="0"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pageBreakBefore w:val="0"/>
        <w:kinsoku/>
        <w:wordWrap/>
        <w:overflowPunct/>
        <w:topLinePunct w:val="0"/>
        <w:autoSpaceDE/>
        <w:autoSpaceDN/>
        <w:bidi w:val="0"/>
        <w:adjustRightInd w:val="0"/>
        <w:spacing w:after="0" w:line="240" w:lineRule="auto"/>
        <w:ind w:left="0" w:leftChars="0" w:firstLine="640" w:firstLineChars="200"/>
        <w:textAlignment w:val="auto"/>
        <w:rPr>
          <w:rFonts w:hint="eastAsia"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一）贯彻落实省委、省政府和市委、市政府及县委、县政府关于行政管理体制和机构改革以及机构编制管理的政策法规，组织拟订全县行政管理体制和机构改革以及机构编制管理的政策、规定并监督实施；管理和指导全县各级党政机关，人大、政协、法院、检察院机关，各民主党派、人民团体机关的机构编制工作；管理和指导全县事业单位机构编制工作。</w:t>
      </w:r>
    </w:p>
    <w:p>
      <w:pPr>
        <w:pageBreakBefore w:val="0"/>
        <w:kinsoku/>
        <w:wordWrap/>
        <w:overflowPunct/>
        <w:topLinePunct w:val="0"/>
        <w:autoSpaceDE/>
        <w:autoSpaceDN/>
        <w:bidi w:val="0"/>
        <w:adjustRightInd w:val="0"/>
        <w:spacing w:after="0" w:line="240" w:lineRule="auto"/>
        <w:ind w:left="0" w:leftChars="0" w:firstLine="515" w:firstLineChars="161"/>
        <w:textAlignment w:val="auto"/>
        <w:rPr>
          <w:rFonts w:hint="eastAsia"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（二）组织拟订全县行政管理体制和机构改革总体方案并组织实施；拟订县委、县政府机构改革方案；审核县委、县政府各部门职能配置、机构设置、人员编制和领导职数；负责综合行政执法试点工作。</w:t>
      </w:r>
    </w:p>
    <w:p>
      <w:pPr>
        <w:pageBreakBefore w:val="0"/>
        <w:kinsoku/>
        <w:wordWrap/>
        <w:overflowPunct/>
        <w:topLinePunct w:val="0"/>
        <w:autoSpaceDE/>
        <w:autoSpaceDN/>
        <w:bidi w:val="0"/>
        <w:adjustRightInd w:val="0"/>
        <w:spacing w:after="0" w:line="240" w:lineRule="auto"/>
        <w:ind w:left="0" w:leftChars="0" w:firstLine="515" w:firstLineChars="161"/>
        <w:textAlignment w:val="auto"/>
        <w:rPr>
          <w:rFonts w:hint="eastAsia"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三）协调县委、县政府各部门的职能配置及其调整；协调县委各部门之间、县政府各部门之间、县委各部门与县政府各部门之间以及县直各部门之间的职责分工；研究提出参照公务员法管理事业单位的行政管理职能认定意见。</w:t>
      </w:r>
    </w:p>
    <w:p>
      <w:pPr>
        <w:pageBreakBefore w:val="0"/>
        <w:kinsoku/>
        <w:wordWrap/>
        <w:overflowPunct/>
        <w:topLinePunct w:val="0"/>
        <w:autoSpaceDE/>
        <w:autoSpaceDN/>
        <w:bidi w:val="0"/>
        <w:adjustRightInd w:val="0"/>
        <w:spacing w:after="0" w:line="240" w:lineRule="auto"/>
        <w:ind w:left="0" w:leftChars="0" w:firstLine="515" w:firstLineChars="161"/>
        <w:textAlignment w:val="auto"/>
        <w:rPr>
          <w:rFonts w:hint="eastAsia"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（四）审核或审批县委、县政府及各部门的派出机构的职能配置、机构设置、人员编制和领导职数；拟定县党委、政府副科级以上机构设置和调整事宜。</w:t>
      </w:r>
    </w:p>
    <w:p>
      <w:pPr>
        <w:pageBreakBefore w:val="0"/>
        <w:kinsoku/>
        <w:wordWrap/>
        <w:overflowPunct/>
        <w:topLinePunct w:val="0"/>
        <w:autoSpaceDE/>
        <w:autoSpaceDN/>
        <w:bidi w:val="0"/>
        <w:adjustRightInd w:val="0"/>
        <w:spacing w:after="0" w:line="240" w:lineRule="auto"/>
        <w:ind w:left="0" w:leftChars="0" w:firstLine="515" w:firstLineChars="161"/>
        <w:textAlignment w:val="auto"/>
        <w:rPr>
          <w:rFonts w:hint="eastAsia"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五）审核县人大、县政协、县法院、县检察院、县级各民主党派、人民团体机关的职能配置、机构设置、人员编制和领导职数；拟定县人大、政协、法院、检察院和各民主党派、人民团体机关副科级以上机构设置和调整事宜。</w:t>
      </w:r>
    </w:p>
    <w:p>
      <w:pPr>
        <w:pageBreakBefore w:val="0"/>
        <w:kinsoku/>
        <w:wordWrap/>
        <w:overflowPunct/>
        <w:topLinePunct w:val="0"/>
        <w:autoSpaceDE/>
        <w:autoSpaceDN/>
        <w:bidi w:val="0"/>
        <w:adjustRightInd w:val="0"/>
        <w:spacing w:after="0" w:line="240" w:lineRule="auto"/>
        <w:ind w:left="0" w:leftChars="0" w:firstLine="515" w:firstLineChars="161"/>
        <w:textAlignment w:val="auto"/>
        <w:rPr>
          <w:rFonts w:hint="eastAsia"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六）组织拟订全县事业单位管理体制和机构改革方案；贯彻执行各类事业单位人员编制标准和管理办法；审核县委、县政府及县直各部门联系的各群众团体的机构编制事宜；负责全县事业单位法人登记管理和监督检查工作。</w:t>
      </w:r>
    </w:p>
    <w:p>
      <w:pPr>
        <w:pageBreakBefore w:val="0"/>
        <w:kinsoku/>
        <w:wordWrap/>
        <w:overflowPunct/>
        <w:topLinePunct w:val="0"/>
        <w:autoSpaceDE/>
        <w:autoSpaceDN/>
        <w:bidi w:val="0"/>
        <w:adjustRightInd w:val="0"/>
        <w:spacing w:after="0" w:line="240" w:lineRule="auto"/>
        <w:ind w:left="0" w:leftChars="0" w:firstLine="515" w:firstLineChars="161"/>
        <w:textAlignment w:val="auto"/>
        <w:rPr>
          <w:rFonts w:hint="eastAsia"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（七）指导全县开发区（园区）行政管理体制改革工作，贯彻执行省级以上开发区（园区）机构编制管理办法。</w:t>
      </w:r>
    </w:p>
    <w:p>
      <w:pPr>
        <w:pageBreakBefore w:val="0"/>
        <w:kinsoku/>
        <w:wordWrap/>
        <w:overflowPunct/>
        <w:topLinePunct w:val="0"/>
        <w:autoSpaceDE/>
        <w:autoSpaceDN/>
        <w:bidi w:val="0"/>
        <w:adjustRightInd w:val="0"/>
        <w:spacing w:after="0" w:line="240" w:lineRule="auto"/>
        <w:ind w:left="0" w:leftChars="0" w:firstLine="515" w:firstLineChars="161"/>
        <w:textAlignment w:val="auto"/>
        <w:rPr>
          <w:rFonts w:hint="eastAsia"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八）负责机构编制日常管理；负责对全县机构编制的总量控制、动态管理和机构编制标准化工作；负责机构编制实名制管理，以及编制使用核准等工作；建立健全机构编制部门与有关部门的配合制约机制；负责机关事业单位增加人员实行“五口归一”制度的落实，严把机关事业单位进人关。</w:t>
      </w:r>
    </w:p>
    <w:p>
      <w:pPr>
        <w:pageBreakBefore w:val="0"/>
        <w:kinsoku/>
        <w:wordWrap/>
        <w:overflowPunct/>
        <w:topLinePunct w:val="0"/>
        <w:autoSpaceDE/>
        <w:autoSpaceDN/>
        <w:bidi w:val="0"/>
        <w:adjustRightInd w:val="0"/>
        <w:spacing w:after="0" w:line="240" w:lineRule="auto"/>
        <w:ind w:left="0" w:leftChars="0" w:firstLine="515" w:firstLineChars="161"/>
        <w:textAlignment w:val="auto"/>
        <w:rPr>
          <w:rFonts w:hint="eastAsia"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（九）负责对各级行政、事业单位管理体制和机构改革及机构编制执行情况的跟踪评估和监督检查；负责受理违反机构编制法规、纪律的检举、控告和投诉，对违反机构编制法规、纪律问题进行调查处理。</w:t>
      </w:r>
    </w:p>
    <w:p>
      <w:pPr>
        <w:pageBreakBefore w:val="0"/>
        <w:kinsoku/>
        <w:wordWrap/>
        <w:overflowPunct/>
        <w:topLinePunct w:val="0"/>
        <w:autoSpaceDE/>
        <w:autoSpaceDN/>
        <w:bidi w:val="0"/>
        <w:adjustRightInd w:val="0"/>
        <w:spacing w:after="0" w:line="240" w:lineRule="auto"/>
        <w:ind w:left="0" w:leftChars="0" w:firstLine="515" w:firstLineChars="161"/>
        <w:textAlignment w:val="auto"/>
        <w:rPr>
          <w:rFonts w:hint="eastAsia"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（十）负责全县机构编制信息化建设；负责全县机构编制统计工作；指导全县党政群机关、事业单位和其他非营利性单位网上名称管理工作。</w:t>
      </w:r>
    </w:p>
    <w:p>
      <w:pPr>
        <w:pageBreakBefore w:val="0"/>
        <w:kinsoku/>
        <w:wordWrap/>
        <w:overflowPunct/>
        <w:topLinePunct w:val="0"/>
        <w:autoSpaceDE/>
        <w:autoSpaceDN/>
        <w:bidi w:val="0"/>
        <w:adjustRightInd w:val="0"/>
        <w:spacing w:after="0" w:line="240" w:lineRule="auto"/>
        <w:ind w:left="0" w:leftChars="0" w:firstLine="515" w:firstLineChars="161"/>
        <w:textAlignment w:val="auto"/>
        <w:rPr>
          <w:rFonts w:hint="eastAsia"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（十一）承办县委、县政府和县机构编制委员会以及上级编制部门交办的其他事项。</w:t>
      </w:r>
    </w:p>
    <w:p>
      <w:pPr>
        <w:pStyle w:val="2"/>
        <w:pageBreakBefore w:val="0"/>
        <w:kinsoku/>
        <w:wordWrap/>
        <w:overflowPunct/>
        <w:topLinePunct w:val="0"/>
        <w:autoSpaceDE/>
        <w:autoSpaceDN/>
        <w:bidi w:val="0"/>
        <w:adjustRightInd w:val="0"/>
        <w:spacing w:before="0" w:after="0" w:line="240" w:lineRule="auto"/>
        <w:ind w:left="0" w:leftChars="0"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pageBreakBefore w:val="0"/>
        <w:kinsoku/>
        <w:wordWrap/>
        <w:overflowPunct/>
        <w:topLinePunct w:val="0"/>
        <w:autoSpaceDE/>
        <w:autoSpaceDN/>
        <w:bidi w:val="0"/>
        <w:adjustRightInd w:val="0"/>
        <w:spacing w:after="0" w:line="240" w:lineRule="auto"/>
        <w:ind w:left="0" w:leftChars="0" w:firstLine="640" w:firstLineChars="200"/>
        <w:textAlignment w:val="auto"/>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从决算编报单位构成看，纳入2018 年度本部门决算汇编范围的独立核算单位（以下简称“单位”）共</w:t>
      </w:r>
      <w:r>
        <w:rPr>
          <w:rFonts w:hint="eastAsia" w:ascii="仿宋_GB2312" w:eastAsia="仿宋_GB2312" w:cs="ArialUnicodeMS" w:hAnsiTheme="minorHAnsi"/>
          <w:kern w:val="0"/>
          <w:sz w:val="32"/>
          <w:szCs w:val="32"/>
          <w:lang w:val="en-US" w:eastAsia="zh-CN"/>
        </w:rPr>
        <w:t>1</w:t>
      </w:r>
      <w:r>
        <w:rPr>
          <w:rFonts w:hint="eastAsia" w:ascii="仿宋_GB2312" w:eastAsia="仿宋_GB2312" w:cs="ArialUnicodeMS" w:hAnsiTheme="minorHAnsi"/>
          <w:kern w:val="0"/>
          <w:sz w:val="32"/>
          <w:szCs w:val="32"/>
        </w:rPr>
        <w:t>个，具体情况如下：</w:t>
      </w:r>
    </w:p>
    <w:tbl>
      <w:tblPr>
        <w:tblStyle w:val="14"/>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725"/>
        <w:gridCol w:w="175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pageBreakBefore w:val="0"/>
              <w:kinsoku/>
              <w:wordWrap/>
              <w:overflowPunct/>
              <w:topLinePunct w:val="0"/>
              <w:autoSpaceDE/>
              <w:autoSpaceDN/>
              <w:bidi w:val="0"/>
              <w:adjustRightInd w:val="0"/>
              <w:spacing w:after="0" w:line="240" w:lineRule="auto"/>
              <w:ind w:left="0" w:leftChars="0"/>
              <w:jc w:val="center"/>
              <w:textAlignment w:val="auto"/>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4725" w:type="dxa"/>
            <w:vAlign w:val="center"/>
          </w:tcPr>
          <w:p>
            <w:pPr>
              <w:pageBreakBefore w:val="0"/>
              <w:kinsoku/>
              <w:wordWrap/>
              <w:overflowPunct/>
              <w:topLinePunct w:val="0"/>
              <w:autoSpaceDE/>
              <w:autoSpaceDN/>
              <w:bidi w:val="0"/>
              <w:adjustRightInd w:val="0"/>
              <w:spacing w:after="0" w:line="240" w:lineRule="auto"/>
              <w:ind w:left="0" w:leftChars="0"/>
              <w:jc w:val="center"/>
              <w:textAlignment w:val="auto"/>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1755" w:type="dxa"/>
            <w:vAlign w:val="center"/>
          </w:tcPr>
          <w:p>
            <w:pPr>
              <w:pageBreakBefore w:val="0"/>
              <w:kinsoku/>
              <w:wordWrap/>
              <w:overflowPunct/>
              <w:topLinePunct w:val="0"/>
              <w:autoSpaceDE/>
              <w:autoSpaceDN/>
              <w:bidi w:val="0"/>
              <w:adjustRightInd w:val="0"/>
              <w:spacing w:after="0" w:line="240" w:lineRule="auto"/>
              <w:ind w:left="0" w:leftChars="0"/>
              <w:jc w:val="center"/>
              <w:textAlignment w:val="auto"/>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115" w:type="dxa"/>
            <w:vAlign w:val="center"/>
          </w:tcPr>
          <w:p>
            <w:pPr>
              <w:pageBreakBefore w:val="0"/>
              <w:kinsoku/>
              <w:wordWrap/>
              <w:overflowPunct/>
              <w:topLinePunct w:val="0"/>
              <w:autoSpaceDE/>
              <w:autoSpaceDN/>
              <w:bidi w:val="0"/>
              <w:adjustRightInd w:val="0"/>
              <w:spacing w:after="0" w:line="240" w:lineRule="auto"/>
              <w:ind w:left="0" w:leftChars="0"/>
              <w:jc w:val="center"/>
              <w:textAlignment w:val="auto"/>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pageBreakBefore w:val="0"/>
              <w:kinsoku/>
              <w:wordWrap/>
              <w:overflowPunct/>
              <w:topLinePunct w:val="0"/>
              <w:autoSpaceDE/>
              <w:autoSpaceDN/>
              <w:bidi w:val="0"/>
              <w:adjustRightInd w:val="0"/>
              <w:spacing w:after="0" w:line="240" w:lineRule="auto"/>
              <w:ind w:left="0" w:leftChars="0"/>
              <w:jc w:val="center"/>
              <w:textAlignment w:val="auto"/>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4725" w:type="dxa"/>
          </w:tcPr>
          <w:p>
            <w:pPr>
              <w:pageBreakBefore w:val="0"/>
              <w:kinsoku/>
              <w:wordWrap/>
              <w:overflowPunct/>
              <w:topLinePunct w:val="0"/>
              <w:autoSpaceDE/>
              <w:autoSpaceDN/>
              <w:bidi w:val="0"/>
              <w:adjustRightInd w:val="0"/>
              <w:spacing w:after="0" w:line="240" w:lineRule="auto"/>
              <w:ind w:left="0" w:leftChars="0"/>
              <w:textAlignment w:val="auto"/>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lang w:val="en-US" w:eastAsia="zh-CN"/>
              </w:rPr>
              <w:t>文安县机构编制委员会办公室</w:t>
            </w:r>
            <w:r>
              <w:rPr>
                <w:rFonts w:hint="eastAsia" w:ascii="仿宋_GB2312" w:eastAsia="仿宋_GB2312" w:cs="ArialUnicodeMS" w:hAnsiTheme="minorHAnsi"/>
                <w:kern w:val="0"/>
                <w:sz w:val="28"/>
                <w:szCs w:val="28"/>
              </w:rPr>
              <w:t>(本级)</w:t>
            </w:r>
          </w:p>
        </w:tc>
        <w:tc>
          <w:tcPr>
            <w:tcW w:w="1755" w:type="dxa"/>
          </w:tcPr>
          <w:p>
            <w:pPr>
              <w:pageBreakBefore w:val="0"/>
              <w:kinsoku/>
              <w:wordWrap/>
              <w:overflowPunct/>
              <w:topLinePunct w:val="0"/>
              <w:autoSpaceDE/>
              <w:autoSpaceDN/>
              <w:bidi w:val="0"/>
              <w:adjustRightInd w:val="0"/>
              <w:spacing w:after="0" w:line="240" w:lineRule="auto"/>
              <w:ind w:left="0" w:leftChars="0"/>
              <w:jc w:val="center"/>
              <w:textAlignment w:val="auto"/>
              <w:rPr>
                <w:rFonts w:hint="default" w:ascii="仿宋_GB2312" w:eastAsia="仿宋_GB2312" w:cs="ArialUnicodeMS" w:hAnsiTheme="minorHAnsi"/>
                <w:kern w:val="0"/>
                <w:sz w:val="28"/>
                <w:szCs w:val="28"/>
                <w:lang w:val="en-US" w:eastAsia="zh-CN"/>
              </w:rPr>
            </w:pPr>
            <w:r>
              <w:rPr>
                <w:rFonts w:hint="eastAsia" w:ascii="仿宋_GB2312" w:eastAsia="仿宋_GB2312" w:cs="ArialUnicodeMS" w:hAnsiTheme="minorHAnsi"/>
                <w:kern w:val="0"/>
                <w:sz w:val="28"/>
                <w:szCs w:val="28"/>
                <w:lang w:val="en-US" w:eastAsia="zh-CN"/>
              </w:rPr>
              <w:t>行政单位</w:t>
            </w:r>
          </w:p>
        </w:tc>
        <w:tc>
          <w:tcPr>
            <w:tcW w:w="2115" w:type="dxa"/>
          </w:tcPr>
          <w:p>
            <w:pPr>
              <w:pageBreakBefore w:val="0"/>
              <w:kinsoku/>
              <w:wordWrap/>
              <w:overflowPunct/>
              <w:topLinePunct w:val="0"/>
              <w:autoSpaceDE/>
              <w:autoSpaceDN/>
              <w:bidi w:val="0"/>
              <w:adjustRightInd w:val="0"/>
              <w:spacing w:after="0" w:line="240" w:lineRule="auto"/>
              <w:ind w:left="0" w:leftChars="0"/>
              <w:jc w:val="center"/>
              <w:textAlignment w:val="auto"/>
              <w:rPr>
                <w:rFonts w:hint="default" w:ascii="仿宋_GB2312" w:eastAsia="仿宋_GB2312" w:cs="ArialUnicodeMS" w:hAnsiTheme="minorHAnsi"/>
                <w:kern w:val="0"/>
                <w:sz w:val="28"/>
                <w:szCs w:val="28"/>
                <w:lang w:val="en-US" w:eastAsia="zh-CN"/>
              </w:rPr>
            </w:pPr>
            <w:r>
              <w:rPr>
                <w:rFonts w:hint="eastAsia" w:ascii="仿宋_GB2312" w:eastAsia="仿宋_GB2312" w:cs="ArialUnicodeMS" w:hAnsiTheme="minorHAnsi"/>
                <w:kern w:val="0"/>
                <w:sz w:val="28"/>
                <w:szCs w:val="28"/>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pageBreakBefore w:val="0"/>
              <w:kinsoku/>
              <w:wordWrap/>
              <w:overflowPunct/>
              <w:topLinePunct w:val="0"/>
              <w:autoSpaceDE/>
              <w:autoSpaceDN/>
              <w:bidi w:val="0"/>
              <w:adjustRightInd w:val="0"/>
              <w:spacing w:after="0" w:line="240" w:lineRule="auto"/>
              <w:ind w:left="0" w:leftChars="0" w:firstLine="560" w:firstLineChars="200"/>
              <w:jc w:val="left"/>
              <w:textAlignment w:val="auto"/>
              <w:rPr>
                <w:rFonts w:ascii="仿宋_GB2312" w:eastAsia="仿宋_GB2312" w:cs="ArialUnicodeMS" w:hAnsiTheme="minorHAnsi"/>
                <w:kern w:val="0"/>
                <w:sz w:val="28"/>
                <w:szCs w:val="28"/>
              </w:rPr>
            </w:pPr>
          </w:p>
        </w:tc>
      </w:tr>
    </w:tbl>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both"/>
        <w:textAlignment w:val="auto"/>
        <w:rPr>
          <w:rFonts w:hint="eastAsia" w:hAnsi="宋体" w:asciiTheme="minorEastAsia" w:eastAsiaTheme="minorEastAsia"/>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both"/>
        <w:textAlignment w:val="auto"/>
        <w:rPr>
          <w:rFonts w:hint="eastAsia" w:hAnsi="宋体" w:asciiTheme="minorEastAsia" w:eastAsiaTheme="minorEastAsia"/>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both"/>
        <w:textAlignment w:val="auto"/>
        <w:rPr>
          <w:rFonts w:hint="eastAsia" w:hAnsi="宋体" w:asciiTheme="minorEastAsia" w:eastAsiaTheme="minorEastAsia"/>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both"/>
        <w:textAlignment w:val="auto"/>
        <w:rPr>
          <w:rFonts w:hint="eastAsia" w:hAnsi="宋体" w:asciiTheme="minorEastAsia" w:eastAsiaTheme="minorEastAsia"/>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both"/>
        <w:textAlignment w:val="auto"/>
        <w:rPr>
          <w:rFonts w:hint="eastAsia" w:hAnsi="宋体" w:asciiTheme="minorEastAsia" w:eastAsiaTheme="minorEastAsia"/>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both"/>
        <w:textAlignment w:val="auto"/>
        <w:rPr>
          <w:rFonts w:hint="eastAsia" w:hAnsi="宋体" w:asciiTheme="minorEastAsia" w:eastAsiaTheme="minorEastAsia"/>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both"/>
        <w:textAlignment w:val="auto"/>
        <w:rPr>
          <w:rFonts w:hint="eastAsia" w:hAnsi="宋体" w:asciiTheme="minorEastAsia" w:eastAsiaTheme="minorEastAsia"/>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both"/>
        <w:textAlignment w:val="auto"/>
        <w:rPr>
          <w:rFonts w:hint="eastAsia" w:hAnsi="宋体" w:asciiTheme="minorEastAsia" w:eastAsiaTheme="minorEastAsia"/>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both"/>
        <w:textAlignment w:val="auto"/>
        <w:rPr>
          <w:rFonts w:hint="eastAsia" w:hAnsi="宋体" w:asciiTheme="minorEastAsia" w:eastAsiaTheme="minorEastAsia"/>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both"/>
        <w:textAlignment w:val="auto"/>
        <w:rPr>
          <w:rFonts w:hint="eastAsia" w:hAnsi="宋体" w:asciiTheme="minorEastAsia" w:eastAsiaTheme="minorEastAsia"/>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both"/>
        <w:textAlignment w:val="auto"/>
        <w:rPr>
          <w:rFonts w:hint="eastAsia" w:hAnsi="宋体" w:asciiTheme="minorEastAsia" w:eastAsiaTheme="minorEastAsia"/>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both"/>
        <w:textAlignment w:val="auto"/>
        <w:rPr>
          <w:rFonts w:hint="eastAsia" w:hAnsi="宋体" w:asciiTheme="minorEastAsia" w:eastAsiaTheme="minorEastAsia"/>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both"/>
        <w:textAlignment w:val="auto"/>
        <w:rPr>
          <w:rFonts w:hint="eastAsia" w:hAnsi="宋体" w:asciiTheme="minorEastAsia" w:eastAsiaTheme="minorEastAsia"/>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center"/>
        <w:textAlignment w:val="auto"/>
        <w:rPr>
          <w:rFonts w:hint="eastAsia" w:hAnsi="宋体" w:asciiTheme="minorEastAsia" w:eastAsiaTheme="minorEastAsia"/>
          <w:color w:val="000000" w:themeColor="text1"/>
          <w:sz w:val="84"/>
          <w:szCs w:val="84"/>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center"/>
        <w:textAlignment w:val="auto"/>
        <w:rPr>
          <w:rFonts w:hint="eastAsia" w:hAnsi="宋体" w:asciiTheme="minorEastAsia" w:eastAsiaTheme="minorEastAsia"/>
          <w:color w:val="000000" w:themeColor="text1"/>
          <w:sz w:val="84"/>
          <w:szCs w:val="84"/>
        </w:rPr>
      </w:pPr>
      <w:r>
        <w:rPr>
          <w:rFonts w:hint="eastAsia" w:hAnsi="宋体" w:asciiTheme="minorEastAsia" w:eastAsiaTheme="minorEastAsia"/>
          <w:color w:val="000000" w:themeColor="text1"/>
          <w:sz w:val="84"/>
          <w:szCs w:val="84"/>
        </w:rPr>
        <w:t>第二部分</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center"/>
        <w:textAlignment w:val="auto"/>
        <w:rPr>
          <w:rFonts w:hint="eastAsia" w:hAnsi="宋体" w:asciiTheme="minorEastAsia" w:eastAsiaTheme="minorEastAsia"/>
          <w:color w:val="000000" w:themeColor="text1"/>
          <w:sz w:val="84"/>
          <w:szCs w:val="84"/>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center"/>
        <w:textAlignment w:val="auto"/>
        <w:rPr>
          <w:rFonts w:ascii="仿宋_GB2312" w:eastAsia="仿宋_GB2312" w:hAnsiTheme="majorEastAsia"/>
          <w:b/>
          <w:sz w:val="84"/>
          <w:szCs w:val="84"/>
          <w:highlight w:val="yellow"/>
        </w:rPr>
        <w:sectPr>
          <w:pgSz w:w="11906" w:h="16838"/>
          <w:pgMar w:top="2098" w:right="1474" w:bottom="1984" w:left="1588" w:header="851" w:footer="992" w:gutter="0"/>
          <w:cols w:space="0" w:num="1"/>
          <w:docGrid w:type="lines" w:linePitch="312" w:charSpace="0"/>
        </w:sectPr>
      </w:pPr>
      <w:r>
        <w:rPr>
          <w:rFonts w:hint="eastAsia" w:hAnsi="宋体" w:asciiTheme="minorEastAsia" w:eastAsiaTheme="minorEastAsia"/>
          <w:color w:val="000000" w:themeColor="text1"/>
          <w:sz w:val="84"/>
          <w:szCs w:val="84"/>
        </w:rPr>
        <w:t>2018年度部门决算报表</w:t>
      </w:r>
      <w:r>
        <w:rPr>
          <w:rFonts w:hint="eastAsia" w:hAnsi="宋体" w:asciiTheme="minorEastAsia" w:eastAsiaTheme="minorEastAsia"/>
          <w:color w:val="000000" w:themeColor="text1"/>
          <w:sz w:val="84"/>
          <w:szCs w:val="84"/>
          <w:lang w:eastAsia="zh-CN"/>
        </w:rPr>
        <w:t>（</w:t>
      </w:r>
      <w:r>
        <w:rPr>
          <w:rFonts w:hint="eastAsia" w:hAnsi="宋体" w:asciiTheme="minorEastAsia" w:eastAsiaTheme="minorEastAsia"/>
          <w:color w:val="000000" w:themeColor="text1"/>
          <w:sz w:val="84"/>
          <w:szCs w:val="84"/>
          <w:lang w:val="en-US" w:eastAsia="zh-CN"/>
        </w:rPr>
        <w:t>附表）</w:t>
      </w:r>
    </w:p>
    <w:p>
      <w:pPr>
        <w:pageBreakBefore w:val="0"/>
        <w:widowControl/>
        <w:kinsoku/>
        <w:wordWrap/>
        <w:overflowPunct/>
        <w:topLinePunct w:val="0"/>
        <w:autoSpaceDE/>
        <w:autoSpaceDN/>
        <w:bidi w:val="0"/>
        <w:adjustRightInd w:val="0"/>
        <w:snapToGrid w:val="0"/>
        <w:spacing w:after="0" w:line="240" w:lineRule="auto"/>
        <w:ind w:left="0" w:leftChars="0"/>
        <w:jc w:val="center"/>
        <w:textAlignment w:val="auto"/>
        <w:rPr>
          <w:rFonts w:hint="eastAsia" w:hAnsi="宋体" w:asciiTheme="minorEastAsia" w:eastAsiaTheme="minorEastAsia"/>
          <w:color w:val="000000" w:themeColor="text1"/>
          <w:sz w:val="84"/>
          <w:szCs w:val="84"/>
        </w:rPr>
      </w:pPr>
    </w:p>
    <w:p>
      <w:pPr>
        <w:pageBreakBefore w:val="0"/>
        <w:widowControl/>
        <w:kinsoku/>
        <w:wordWrap/>
        <w:overflowPunct/>
        <w:topLinePunct w:val="0"/>
        <w:autoSpaceDE/>
        <w:autoSpaceDN/>
        <w:bidi w:val="0"/>
        <w:adjustRightInd w:val="0"/>
        <w:snapToGrid w:val="0"/>
        <w:spacing w:after="0" w:line="240" w:lineRule="auto"/>
        <w:ind w:left="0" w:leftChars="0"/>
        <w:jc w:val="center"/>
        <w:textAlignment w:val="auto"/>
        <w:rPr>
          <w:rFonts w:hint="eastAsia" w:hAnsi="宋体" w:asciiTheme="minorEastAsia" w:eastAsiaTheme="minorEastAsia"/>
          <w:color w:val="000000" w:themeColor="text1"/>
          <w:sz w:val="84"/>
          <w:szCs w:val="84"/>
        </w:rPr>
      </w:pPr>
    </w:p>
    <w:p>
      <w:pPr>
        <w:pageBreakBefore w:val="0"/>
        <w:widowControl/>
        <w:kinsoku/>
        <w:wordWrap/>
        <w:overflowPunct/>
        <w:topLinePunct w:val="0"/>
        <w:autoSpaceDE/>
        <w:autoSpaceDN/>
        <w:bidi w:val="0"/>
        <w:adjustRightInd w:val="0"/>
        <w:snapToGrid w:val="0"/>
        <w:spacing w:after="0" w:line="240" w:lineRule="auto"/>
        <w:ind w:left="0" w:leftChars="0"/>
        <w:jc w:val="center"/>
        <w:textAlignment w:val="auto"/>
        <w:rPr>
          <w:rFonts w:hint="eastAsia" w:hAnsi="宋体" w:asciiTheme="minorEastAsia" w:eastAsiaTheme="minorEastAsia"/>
          <w:color w:val="000000" w:themeColor="text1"/>
          <w:sz w:val="84"/>
          <w:szCs w:val="84"/>
        </w:rPr>
      </w:pPr>
    </w:p>
    <w:p>
      <w:pPr>
        <w:pageBreakBefore w:val="0"/>
        <w:widowControl/>
        <w:numPr>
          <w:ilvl w:val="0"/>
          <w:numId w:val="2"/>
        </w:numPr>
        <w:kinsoku/>
        <w:wordWrap/>
        <w:overflowPunct/>
        <w:topLinePunct w:val="0"/>
        <w:autoSpaceDE/>
        <w:autoSpaceDN/>
        <w:bidi w:val="0"/>
        <w:adjustRightInd w:val="0"/>
        <w:snapToGrid w:val="0"/>
        <w:spacing w:after="0" w:line="240" w:lineRule="auto"/>
        <w:ind w:left="0" w:leftChars="0"/>
        <w:jc w:val="center"/>
        <w:textAlignment w:val="auto"/>
        <w:rPr>
          <w:rFonts w:hint="eastAsia" w:hAnsi="宋体" w:asciiTheme="minorEastAsia" w:eastAsiaTheme="minorEastAsia"/>
          <w:color w:val="000000" w:themeColor="text1"/>
          <w:sz w:val="84"/>
          <w:szCs w:val="84"/>
          <w:lang w:val="en-US" w:eastAsia="zh-CN"/>
        </w:rPr>
      </w:pPr>
      <w:r>
        <w:rPr>
          <w:rFonts w:hint="eastAsia" w:hAnsi="宋体" w:asciiTheme="minorEastAsia" w:eastAsiaTheme="minorEastAsia"/>
          <w:color w:val="000000" w:themeColor="text1"/>
          <w:sz w:val="84"/>
          <w:szCs w:val="84"/>
          <w:lang w:val="en-US" w:eastAsia="zh-CN"/>
        </w:rPr>
        <w:t xml:space="preserve">           </w:t>
      </w:r>
    </w:p>
    <w:p>
      <w:pPr>
        <w:pageBreakBefore w:val="0"/>
        <w:widowControl/>
        <w:numPr>
          <w:ilvl w:val="0"/>
          <w:numId w:val="0"/>
        </w:numPr>
        <w:kinsoku/>
        <w:wordWrap/>
        <w:overflowPunct/>
        <w:topLinePunct w:val="0"/>
        <w:autoSpaceDE/>
        <w:autoSpaceDN/>
        <w:bidi w:val="0"/>
        <w:adjustRightInd w:val="0"/>
        <w:snapToGrid w:val="0"/>
        <w:spacing w:after="0" w:line="240" w:lineRule="auto"/>
        <w:jc w:val="both"/>
        <w:textAlignment w:val="auto"/>
        <w:rPr>
          <w:rFonts w:hint="eastAsia" w:hAnsi="宋体" w:asciiTheme="minorEastAsia" w:eastAsiaTheme="minorEastAsia"/>
          <w:color w:val="000000" w:themeColor="text1"/>
          <w:sz w:val="84"/>
          <w:szCs w:val="84"/>
        </w:rPr>
      </w:pPr>
    </w:p>
    <w:p>
      <w:pPr>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color w:val="000000" w:themeColor="text1"/>
          <w:sz w:val="84"/>
          <w:szCs w:val="84"/>
        </w:rPr>
      </w:pPr>
      <w:r>
        <w:rPr>
          <w:rFonts w:hint="eastAsia" w:hAnsi="宋体" w:asciiTheme="minorEastAsia" w:eastAsiaTheme="minorEastAsia"/>
          <w:color w:val="000000" w:themeColor="text1"/>
          <w:sz w:val="84"/>
          <w:szCs w:val="84"/>
        </w:rPr>
        <w:t>部门决算情况说明</w:t>
      </w:r>
    </w:p>
    <w:p>
      <w:pPr>
        <w:pageBreakBefore w:val="0"/>
        <w:kinsoku/>
        <w:wordWrap/>
        <w:overflowPunct/>
        <w:topLinePunct w:val="0"/>
        <w:autoSpaceDE/>
        <w:autoSpaceDN/>
        <w:bidi w:val="0"/>
        <w:adjustRightInd w:val="0"/>
        <w:snapToGrid w:val="0"/>
        <w:spacing w:after="0" w:line="240" w:lineRule="auto"/>
        <w:ind w:left="0" w:leftChars="0"/>
        <w:jc w:val="center"/>
        <w:textAlignment w:val="auto"/>
        <w:rPr>
          <w:rFonts w:ascii="宋体" w:hAnsi="宋体" w:cs="ArialUnicodeMS"/>
          <w:color w:val="000000"/>
          <w:kern w:val="0"/>
          <w:sz w:val="84"/>
          <w:szCs w:val="84"/>
        </w:rPr>
        <w:sectPr>
          <w:pgSz w:w="11906" w:h="16838"/>
          <w:pgMar w:top="2098" w:right="1474" w:bottom="1984" w:left="1588" w:header="851" w:footer="992" w:gutter="0"/>
          <w:cols w:space="0" w:num="1"/>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一、收入支出决算总体情况说明</w:t>
      </w:r>
    </w:p>
    <w:p>
      <w:pPr>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本部门2018年度收支总计（含结转和结余）156.44万元。与2017年度决算相比，收支各增加13.39万元，增长8%，主要是人员经费的增加。</w:t>
      </w:r>
    </w:p>
    <w:p>
      <w:pPr>
        <w:pStyle w:val="3"/>
        <w:pageBreakBefore w:val="0"/>
        <w:widowControl w:val="0"/>
        <w:kinsoku/>
        <w:wordWrap/>
        <w:overflowPunct/>
        <w:topLinePunct w:val="0"/>
        <w:autoSpaceDE/>
        <w:autoSpaceDN/>
        <w:bidi w:val="0"/>
        <w:adjustRightInd w:val="0"/>
        <w:snapToGrid w:val="0"/>
        <w:spacing w:before="0"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二、收入决算情况说明</w:t>
      </w:r>
    </w:p>
    <w:p>
      <w:pPr>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本部门2018年度本年收入合计156.44万元，其中：财政拨款收入156.44万元，占100%；事业收入0万元，占0%；经营收入0万元，占0%；其他收入0万元，占0%。</w:t>
      </w:r>
    </w:p>
    <w:p>
      <w:pPr>
        <w:pStyle w:val="3"/>
        <w:pageBreakBefore w:val="0"/>
        <w:widowControl w:val="0"/>
        <w:kinsoku/>
        <w:wordWrap/>
        <w:overflowPunct/>
        <w:topLinePunct w:val="0"/>
        <w:autoSpaceDE/>
        <w:autoSpaceDN/>
        <w:bidi w:val="0"/>
        <w:adjustRightInd w:val="0"/>
        <w:snapToGrid w:val="0"/>
        <w:spacing w:before="0"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三、支出决算情况说明</w:t>
      </w:r>
    </w:p>
    <w:p>
      <w:pPr>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left"/>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本部门2018年度本年支出合计153.76万元，其中：基本支出136.75万元，占89%；项目支出17.01万元，占11%；经营支出0万元，占0%。</w:t>
      </w:r>
    </w:p>
    <w:p>
      <w:pPr>
        <w:pStyle w:val="3"/>
        <w:pageBreakBefore w:val="0"/>
        <w:widowControl w:val="0"/>
        <w:kinsoku/>
        <w:wordWrap/>
        <w:overflowPunct/>
        <w:topLinePunct w:val="0"/>
        <w:autoSpaceDE/>
        <w:autoSpaceDN/>
        <w:bidi w:val="0"/>
        <w:adjustRightInd w:val="0"/>
        <w:snapToGrid w:val="0"/>
        <w:spacing w:before="0"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四、财政拨款收入支出决算情况说明</w:t>
      </w:r>
    </w:p>
    <w:p>
      <w:pPr>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（一）财政拨款收支与2017 年度决算对比情况</w:t>
      </w:r>
    </w:p>
    <w:p>
      <w:pPr>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本部门2018年度形成的财政拨款收支均为一般公共预算财政拨款，其中一般公共预算财政拨款本年收入156.44万元,比2017年度增加13.39万元，增长8%，主要是人员经费的增加；本年支出153.76万元，增加10.71万元，增长6%，主要是人员经费的增加。</w:t>
      </w:r>
    </w:p>
    <w:p>
      <w:pPr>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（二）财政拨款收支与年初预算数对比情况</w:t>
      </w:r>
    </w:p>
    <w:p>
      <w:pPr>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本部门2018年度一般公共预算财政拨款收入156.44万元，完成年初预算的117%,比年初预算增加23.67万元，决算数大于预算数主要是人员经费的增加；本年支出153.76万元，完成年初预算的115%,比年初预算增加20.99万元，决算数大于预算数主要是人员经费的增加。</w:t>
      </w:r>
    </w:p>
    <w:p>
      <w:pPr>
        <w:pageBreakBefore w:val="0"/>
        <w:widowControl w:val="0"/>
        <w:numPr>
          <w:ilvl w:val="0"/>
          <w:numId w:val="3"/>
        </w:numPr>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财政拨款支出决算结构情况。</w:t>
      </w:r>
    </w:p>
    <w:p>
      <w:pPr>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2018 年度财政拨款支出153.76万元，一般公共服务（类）支出139.10万元，占90%；公共安全（类）支出0万元，占0%；教育（类）支出0万元，占0%；科学技术（类）支出0万元，占 0%；社会保障和就业（类）支出 14.66万元，占10%；住房保障（类）支出0万元，占0%。</w:t>
      </w:r>
    </w:p>
    <w:p>
      <w:pPr>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（四）一般公共预算财政拨款基本支出决算情况说明</w:t>
      </w:r>
    </w:p>
    <w:p>
      <w:pPr>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2018 年度一般公共预算财政拨款基本支出136.75万元，其中：人员经费 122.32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14.43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pageBreakBefore w:val="0"/>
        <w:kinsoku/>
        <w:wordWrap/>
        <w:overflowPunct/>
        <w:topLinePunct w:val="0"/>
        <w:autoSpaceDE/>
        <w:autoSpaceDN/>
        <w:bidi w:val="0"/>
        <w:adjustRightInd w:val="0"/>
        <w:spacing w:before="0"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五、一般公共预算财政拨款“三公” 经费支出决算情况说明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本部门2018年度一般公共预算财政拨款“三公”经费支出共计2万元，较年初预算无增减变化，较2017年度决算无增减变化。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一）因公出国（境）费支出0万元。本部门2018年度因公出国（境）团组0个、共0人/参加其他单位组织的因公出国（境）团组0个、共0人/无本单位组织的出国（境）团组。本部门2018年度未发生因公出国（境）费支出，较年初预算无增减变化，较2017年度决算无增减变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（二）公务用车购置及运行维护费支出2万元。本部门2018年度公务用车购置及运行维护费较年初预算无增减变化，较2017年度决算无增减变化。其中：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公务用车购置费支出0万元。本部门2018年度公务用车购置数量0辆。公务用车购置费支出较年初预算无增减变化，较2017年度决算无增减变化。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公务用车运行维护费支出2万元。本部门2018年末单位公务用车保有量1辆。公车运行维护费支出较年初预算无增减变化，较2017年度决算无增减变化。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（三）公务接待费支出0万元。本部门2018年度公务接待共0批次、0人次。公务接待费支出较年初预算无增减变化，较2017年度决算无增减变化。</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六、预算绩效情况说明</w:t>
      </w:r>
    </w:p>
    <w:p>
      <w:pPr>
        <w:pStyle w:val="11"/>
        <w:keepNext w:val="0"/>
        <w:keepLines w:val="0"/>
        <w:pageBreakBefore w:val="0"/>
        <w:widowControl/>
        <w:shd w:val="clear" w:color="auto" w:fill="FFFFFF"/>
        <w:kinsoku/>
        <w:wordWrap/>
        <w:overflowPunct/>
        <w:topLinePunct w:val="0"/>
        <w:autoSpaceDE/>
        <w:autoSpaceDN/>
        <w:bidi w:val="0"/>
        <w:adjustRightInd w:val="0"/>
        <w:spacing w:before="0" w:beforeAutospacing="0" w:after="0" w:afterAutospacing="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（一）预算绩效管理工作开展情况。</w:t>
      </w:r>
    </w:p>
    <w:p>
      <w:pPr>
        <w:pStyle w:val="11"/>
        <w:keepNext w:val="0"/>
        <w:keepLines w:val="0"/>
        <w:pageBreakBefore w:val="0"/>
        <w:widowControl/>
        <w:shd w:val="clear" w:color="auto" w:fill="FFFFFF"/>
        <w:kinsoku/>
        <w:wordWrap/>
        <w:overflowPunct/>
        <w:topLinePunct w:val="0"/>
        <w:autoSpaceDE/>
        <w:autoSpaceDN/>
        <w:bidi w:val="0"/>
        <w:adjustRightInd w:val="0"/>
        <w:spacing w:before="0" w:beforeAutospacing="0" w:after="0" w:afterAutospacing="0" w:line="600" w:lineRule="exact"/>
        <w:ind w:left="0" w:leftChars="0" w:firstLine="800" w:firstLineChars="25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201</w:t>
      </w:r>
      <w:r>
        <w:rPr>
          <w:rFonts w:hint="eastAsia" w:ascii="仿宋" w:hAnsi="仿宋" w:eastAsia="仿宋" w:cs="仿宋"/>
          <w:color w:val="333333"/>
          <w:sz w:val="32"/>
          <w:szCs w:val="32"/>
          <w:shd w:val="clear" w:color="auto" w:fill="FFFFFF"/>
          <w:lang w:val="en-US" w:eastAsia="zh-CN"/>
        </w:rPr>
        <w:t>8</w:t>
      </w:r>
      <w:r>
        <w:rPr>
          <w:rFonts w:hint="eastAsia" w:ascii="仿宋" w:hAnsi="仿宋" w:eastAsia="仿宋" w:cs="仿宋"/>
          <w:color w:val="333333"/>
          <w:sz w:val="32"/>
          <w:szCs w:val="32"/>
          <w:shd w:val="clear" w:color="auto" w:fill="FFFFFF"/>
        </w:rPr>
        <w:t>年按照总体绩效目标，我办认真开展了绩效管理工作。以“部门职责-工作活动”为依据，确定部门预算项目和预算额度、清晰描述预算项目开支范围和内容，确定预算项目的绩效目标、绩效指标和评价标准，为预算绩效控制、绩效分析、绩效评价打下好的基础。</w:t>
      </w:r>
    </w:p>
    <w:p>
      <w:pPr>
        <w:keepNext w:val="0"/>
        <w:keepLines w:val="0"/>
        <w:pageBreakBefore w:val="0"/>
        <w:numPr>
          <w:ilvl w:val="0"/>
          <w:numId w:val="0"/>
        </w:numPr>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项目绩效自评结果。</w:t>
      </w:r>
    </w:p>
    <w:p>
      <w:pPr>
        <w:pStyle w:val="11"/>
        <w:keepNext w:val="0"/>
        <w:keepLines w:val="0"/>
        <w:pageBreakBefore w:val="0"/>
        <w:widowControl/>
        <w:shd w:val="clear" w:color="auto" w:fill="FFFFFF"/>
        <w:kinsoku/>
        <w:wordWrap/>
        <w:overflowPunct/>
        <w:topLinePunct w:val="0"/>
        <w:autoSpaceDE/>
        <w:autoSpaceDN/>
        <w:bidi w:val="0"/>
        <w:adjustRightInd w:val="0"/>
        <w:spacing w:before="0" w:beforeAutospacing="0" w:after="0" w:afterAutospacing="0" w:line="600" w:lineRule="exact"/>
        <w:ind w:left="0" w:leftChars="0" w:firstLine="800" w:firstLineChars="250"/>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为加强财政资金管理，提高财政资金的使用效益，遵循“科学规范、分类管理、绩效相关”的原则，运用科学、合理的绩效评价方法，对本部门201</w:t>
      </w:r>
      <w:r>
        <w:rPr>
          <w:rFonts w:hint="eastAsia" w:ascii="仿宋" w:hAnsi="仿宋" w:eastAsia="仿宋" w:cs="仿宋"/>
          <w:color w:val="333333"/>
          <w:sz w:val="32"/>
          <w:szCs w:val="32"/>
          <w:shd w:val="clear" w:color="auto" w:fill="FFFFFF"/>
          <w:lang w:val="en-US" w:eastAsia="zh-CN"/>
        </w:rPr>
        <w:t>8</w:t>
      </w:r>
      <w:r>
        <w:rPr>
          <w:rFonts w:hint="eastAsia" w:ascii="仿宋" w:hAnsi="仿宋" w:eastAsia="仿宋" w:cs="仿宋"/>
          <w:color w:val="333333"/>
          <w:sz w:val="32"/>
          <w:szCs w:val="32"/>
          <w:shd w:val="clear" w:color="auto" w:fill="FFFFFF"/>
        </w:rPr>
        <w:t>年度重点工作预算绩效情况进行客观、公正的评价。201</w:t>
      </w:r>
      <w:r>
        <w:rPr>
          <w:rFonts w:hint="eastAsia" w:ascii="仿宋" w:hAnsi="仿宋" w:eastAsia="仿宋" w:cs="仿宋"/>
          <w:color w:val="333333"/>
          <w:sz w:val="32"/>
          <w:szCs w:val="32"/>
          <w:shd w:val="clear" w:color="auto" w:fill="FFFFFF"/>
          <w:lang w:val="en-US" w:eastAsia="zh-CN"/>
        </w:rPr>
        <w:t>8</w:t>
      </w:r>
      <w:r>
        <w:rPr>
          <w:rFonts w:hint="eastAsia" w:ascii="仿宋" w:hAnsi="仿宋" w:eastAsia="仿宋" w:cs="仿宋"/>
          <w:color w:val="333333"/>
          <w:sz w:val="32"/>
          <w:szCs w:val="32"/>
          <w:shd w:val="clear" w:color="auto" w:fill="FFFFFF"/>
        </w:rPr>
        <w:t>年度决算专项项目2个，资金17.0</w:t>
      </w: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万元。其中全县机关事业单位中文域名注册管理费9.02万元，专项办公经费</w:t>
      </w:r>
      <w:r>
        <w:rPr>
          <w:rFonts w:hint="eastAsia" w:ascii="仿宋" w:hAnsi="仿宋" w:eastAsia="仿宋" w:cs="仿宋"/>
          <w:color w:val="333333"/>
          <w:sz w:val="32"/>
          <w:szCs w:val="32"/>
          <w:shd w:val="clear" w:color="auto" w:fill="FFFFFF"/>
          <w:lang w:val="en-US" w:eastAsia="zh-CN"/>
        </w:rPr>
        <w:t>7.9</w:t>
      </w:r>
      <w:r>
        <w:rPr>
          <w:rFonts w:hint="eastAsia" w:ascii="仿宋" w:hAnsi="仿宋" w:eastAsia="仿宋" w:cs="仿宋"/>
          <w:color w:val="333333"/>
          <w:sz w:val="32"/>
          <w:szCs w:val="32"/>
          <w:shd w:val="clear" w:color="auto" w:fill="FFFFFF"/>
        </w:rPr>
        <w:t>万元，现已完成评价工作。</w:t>
      </w:r>
    </w:p>
    <w:p>
      <w:pPr>
        <w:pStyle w:val="11"/>
        <w:pageBreakBefore w:val="0"/>
        <w:widowControl/>
        <w:shd w:val="clear" w:color="auto" w:fill="FFFFFF"/>
        <w:kinsoku/>
        <w:wordWrap/>
        <w:overflowPunct/>
        <w:topLinePunct w:val="0"/>
        <w:autoSpaceDE/>
        <w:autoSpaceDN/>
        <w:bidi w:val="0"/>
        <w:adjustRightInd w:val="0"/>
        <w:spacing w:before="0" w:beforeAutospacing="0" w:after="0" w:afterAutospacing="0" w:line="600" w:lineRule="exact"/>
        <w:ind w:left="0" w:leftChars="0"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（三）重点项目绩效评价结果。</w:t>
      </w:r>
      <w:r>
        <w:rPr>
          <w:rFonts w:hint="eastAsia" w:ascii="仿宋" w:hAnsi="仿宋" w:eastAsia="仿宋" w:cs="仿宋"/>
          <w:color w:val="333333"/>
          <w:sz w:val="32"/>
          <w:szCs w:val="32"/>
          <w:shd w:val="clear" w:color="auto" w:fill="FFFFFF"/>
        </w:rPr>
        <w:t>“全县机构事业单位中文域名注册管理费”项目，为加强预算绩效管理，切实提高财政资金使用效益，进一步做好201</w:t>
      </w:r>
      <w:r>
        <w:rPr>
          <w:rFonts w:hint="eastAsia" w:ascii="仿宋" w:hAnsi="仿宋" w:eastAsia="仿宋" w:cs="仿宋"/>
          <w:color w:val="333333"/>
          <w:sz w:val="32"/>
          <w:szCs w:val="32"/>
          <w:shd w:val="clear" w:color="auto" w:fill="FFFFFF"/>
          <w:lang w:val="en-US" w:eastAsia="zh-CN"/>
        </w:rPr>
        <w:t>8</w:t>
      </w:r>
      <w:r>
        <w:rPr>
          <w:rFonts w:hint="eastAsia" w:ascii="仿宋" w:hAnsi="仿宋" w:eastAsia="仿宋" w:cs="仿宋"/>
          <w:color w:val="333333"/>
          <w:sz w:val="32"/>
          <w:szCs w:val="32"/>
          <w:shd w:val="clear" w:color="auto" w:fill="FFFFFF"/>
        </w:rPr>
        <w:t>年度绩效评价工作，我单位对此项目进行重点绩效评价。截止到201</w:t>
      </w:r>
      <w:r>
        <w:rPr>
          <w:rFonts w:hint="eastAsia" w:ascii="仿宋" w:hAnsi="仿宋" w:eastAsia="仿宋" w:cs="仿宋"/>
          <w:color w:val="333333"/>
          <w:sz w:val="32"/>
          <w:szCs w:val="32"/>
          <w:shd w:val="clear" w:color="auto" w:fill="FFFFFF"/>
          <w:lang w:val="en-US" w:eastAsia="zh-CN"/>
        </w:rPr>
        <w:t>8</w:t>
      </w:r>
      <w:r>
        <w:rPr>
          <w:rFonts w:hint="eastAsia" w:ascii="仿宋" w:hAnsi="仿宋" w:eastAsia="仿宋" w:cs="仿宋"/>
          <w:color w:val="333333"/>
          <w:sz w:val="32"/>
          <w:szCs w:val="32"/>
          <w:shd w:val="clear" w:color="auto" w:fill="FFFFFF"/>
        </w:rPr>
        <w:t>年12月31日，全县党政机关、事业单位的中文域名网上注册管理工作已全部完成，共计451家，续费率为100%，评价结果为优。</w:t>
      </w:r>
    </w:p>
    <w:p>
      <w:pPr>
        <w:pStyle w:val="3"/>
        <w:pageBreakBefore w:val="0"/>
        <w:kinsoku/>
        <w:wordWrap/>
        <w:overflowPunct/>
        <w:topLinePunct w:val="0"/>
        <w:autoSpaceDE/>
        <w:autoSpaceDN/>
        <w:bidi w:val="0"/>
        <w:adjustRightInd w:val="0"/>
        <w:spacing w:before="0"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七、其他重要事项的说明</w:t>
      </w:r>
    </w:p>
    <w:p>
      <w:pPr>
        <w:pStyle w:val="4"/>
        <w:pageBreakBefore w:val="0"/>
        <w:kinsoku/>
        <w:wordWrap/>
        <w:overflowPunct/>
        <w:topLinePunct w:val="0"/>
        <w:autoSpaceDE/>
        <w:autoSpaceDN/>
        <w:bidi w:val="0"/>
        <w:adjustRightInd w:val="0"/>
        <w:spacing w:before="0" w:after="0" w:line="600" w:lineRule="exact"/>
        <w:ind w:left="0" w:lef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（一）机关运行经费情况</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本部门2018年度机关运行经费支出14.43万元，比年初预算数减少0.73万元，降低5%,主要是人员的减少</w:t>
      </w:r>
      <w:bookmarkStart w:id="0" w:name="_GoBack"/>
      <w:bookmarkEnd w:id="0"/>
      <w:r>
        <w:rPr>
          <w:rFonts w:hint="eastAsia" w:ascii="仿宋" w:hAnsi="仿宋" w:eastAsia="仿宋" w:cs="仿宋"/>
          <w:b w:val="0"/>
          <w:bCs w:val="0"/>
          <w:color w:val="333333"/>
          <w:kern w:val="0"/>
          <w:sz w:val="32"/>
          <w:szCs w:val="32"/>
          <w:shd w:val="clear" w:color="auto" w:fill="FFFFFF"/>
          <w:lang w:val="en-US" w:eastAsia="zh-CN" w:bidi="ar-SA"/>
        </w:rPr>
        <w:t>。较2017年度决算增加6.11万元，增长42%，主要是公务交通补贴的增加。</w:t>
      </w:r>
    </w:p>
    <w:p>
      <w:pPr>
        <w:pStyle w:val="4"/>
        <w:pageBreakBefore w:val="0"/>
        <w:kinsoku/>
        <w:wordWrap/>
        <w:overflowPunct/>
        <w:topLinePunct w:val="0"/>
        <w:autoSpaceDE/>
        <w:autoSpaceDN/>
        <w:bidi w:val="0"/>
        <w:adjustRightInd w:val="0"/>
        <w:spacing w:before="0"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（二）政府采购情况</w:t>
      </w:r>
    </w:p>
    <w:p>
      <w:pPr>
        <w:pStyle w:val="4"/>
        <w:pageBreakBefore w:val="0"/>
        <w:kinsoku/>
        <w:wordWrap/>
        <w:overflowPunct/>
        <w:topLinePunct w:val="0"/>
        <w:autoSpaceDE/>
        <w:autoSpaceDN/>
        <w:bidi w:val="0"/>
        <w:adjustRightInd w:val="0"/>
        <w:spacing w:before="0" w:after="0" w:line="600" w:lineRule="exact"/>
        <w:ind w:firstLine="640" w:firstLineChars="200"/>
        <w:textAlignment w:val="auto"/>
        <w:rPr>
          <w:rFonts w:ascii="仿宋_GB2312" w:hAnsi="仿宋_GB2312" w:eastAsia="仿宋_GB2312" w:cs="仿宋_GB2312"/>
          <w:color w:val="000000"/>
          <w:kern w:val="0"/>
          <w:sz w:val="32"/>
          <w:szCs w:val="32"/>
        </w:rPr>
      </w:pPr>
      <w:r>
        <w:rPr>
          <w:rFonts w:hint="eastAsia" w:ascii="仿宋" w:hAnsi="仿宋" w:eastAsia="仿宋" w:cs="仿宋"/>
          <w:b w:val="0"/>
          <w:bCs w:val="0"/>
          <w:color w:val="333333"/>
          <w:kern w:val="0"/>
          <w:sz w:val="32"/>
          <w:szCs w:val="32"/>
          <w:shd w:val="clear" w:color="auto" w:fill="FFFFFF"/>
          <w:lang w:val="en-US" w:eastAsia="zh-CN" w:bidi="ar-SA"/>
        </w:rPr>
        <w:t>本部门2018年度政府采购支出总额0万元，从采购类型来看，政府采购货物支出0万元、政府采购工程支出0万元、政府采购服务支出0万元。授予中小企业合同金0万元，占政府采购支出总额的0%，其中授予小微企业合同金额0万元，占政府采购支出总额的 0%。</w:t>
      </w:r>
    </w:p>
    <w:p>
      <w:pPr>
        <w:pStyle w:val="4"/>
        <w:pageBreakBefore w:val="0"/>
        <w:kinsoku/>
        <w:wordWrap/>
        <w:overflowPunct/>
        <w:topLinePunct w:val="0"/>
        <w:autoSpaceDE/>
        <w:autoSpaceDN/>
        <w:bidi w:val="0"/>
        <w:adjustRightInd w:val="0"/>
        <w:spacing w:before="0"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（三）国有资产占用情况</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截至2018年12月31日，本部门共有车辆1辆，较上年无增减变化。其中，副部（省）级及以上领导用车0辆，主要领导干部用车0辆，机要通信用车1辆，应急保障用车0辆，执法执勤用车0辆，特种专业技术用车0辆，离退休干部用车0辆，其他用车0辆；单位价值50万元以上通用设备0台（套），较上年无变化 ，单位价值100万元以上专用设备0台（套），较上年无变化。</w:t>
      </w:r>
    </w:p>
    <w:p>
      <w:pPr>
        <w:pStyle w:val="4"/>
        <w:pageBreakBefore w:val="0"/>
        <w:kinsoku/>
        <w:wordWrap/>
        <w:overflowPunct/>
        <w:topLinePunct w:val="0"/>
        <w:autoSpaceDE/>
        <w:autoSpaceDN/>
        <w:bidi w:val="0"/>
        <w:adjustRightInd w:val="0"/>
        <w:spacing w:before="0"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（四）其他需要说明的情况</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1、本部门2018年度政府性基金预算财政拨款、国有资本经营预算财政拨款、政府采购无收支及结转结余情况，故政府性基金预算财政拨款收入支出决算表、国有资本经营预算财政拨款支出决算表、政府采购情况表以空表列示。</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sectPr>
          <w:pgSz w:w="11906" w:h="16838"/>
          <w:pgMar w:top="2098" w:right="1474" w:bottom="1984" w:left="1588" w:header="851" w:footer="992" w:gutter="0"/>
          <w:cols w:space="0" w:num="1"/>
          <w:docGrid w:type="lines" w:linePitch="312" w:charSpace="0"/>
        </w:sectPr>
      </w:pPr>
      <w:r>
        <w:rPr>
          <w:rFonts w:hint="eastAsia" w:ascii="仿宋" w:hAnsi="仿宋" w:eastAsia="仿宋" w:cs="仿宋"/>
          <w:b w:val="0"/>
          <w:bCs w:val="0"/>
          <w:color w:val="333333"/>
          <w:kern w:val="0"/>
          <w:sz w:val="32"/>
          <w:szCs w:val="32"/>
          <w:shd w:val="clear" w:color="auto" w:fill="FFFFFF"/>
          <w:lang w:val="en-US" w:eastAsia="zh-CN" w:bidi="ar-SA"/>
        </w:rPr>
        <w:t>2、由于决算公开表格中金额数值应当保留两位小数，公开数据为四舍五入计算结果，个别数据合计项与分项之和存在小数点后差额，特此说明。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adjustRightInd w:val="0"/>
        <w:spacing w:after="0" w:line="240" w:lineRule="auto"/>
        <w:ind w:left="0" w:leftChars="0" w:firstLine="0" w:firstLineChars="0"/>
        <w:jc w:val="center"/>
        <w:textAlignment w:val="auto"/>
        <w:rPr>
          <w:rFonts w:hint="eastAsia" w:hAnsi="宋体" w:asciiTheme="minorEastAsia" w:eastAsiaTheme="minorEastAsia"/>
          <w:color w:val="000000" w:themeColor="text1"/>
          <w:sz w:val="84"/>
          <w:szCs w:val="84"/>
        </w:rPr>
      </w:pPr>
    </w:p>
    <w:p>
      <w:pPr>
        <w:pageBreakBefore w:val="0"/>
        <w:widowControl/>
        <w:kinsoku/>
        <w:wordWrap/>
        <w:overflowPunct/>
        <w:topLinePunct w:val="0"/>
        <w:autoSpaceDE/>
        <w:autoSpaceDN/>
        <w:bidi w:val="0"/>
        <w:adjustRightInd w:val="0"/>
        <w:spacing w:after="0" w:line="240" w:lineRule="auto"/>
        <w:ind w:left="0" w:leftChars="0" w:firstLine="0" w:firstLineChars="0"/>
        <w:jc w:val="center"/>
        <w:textAlignment w:val="auto"/>
        <w:rPr>
          <w:rFonts w:hint="eastAsia" w:hAnsi="宋体" w:asciiTheme="minorEastAsia" w:eastAsiaTheme="minorEastAsia"/>
          <w:color w:val="000000" w:themeColor="text1"/>
          <w:sz w:val="84"/>
          <w:szCs w:val="84"/>
        </w:rPr>
      </w:pPr>
    </w:p>
    <w:p>
      <w:pPr>
        <w:pageBreakBefore w:val="0"/>
        <w:widowControl/>
        <w:kinsoku/>
        <w:wordWrap/>
        <w:overflowPunct/>
        <w:topLinePunct w:val="0"/>
        <w:autoSpaceDE/>
        <w:autoSpaceDN/>
        <w:bidi w:val="0"/>
        <w:adjustRightInd w:val="0"/>
        <w:spacing w:after="0" w:line="240" w:lineRule="auto"/>
        <w:ind w:left="0" w:leftChars="0" w:firstLine="0" w:firstLineChars="0"/>
        <w:jc w:val="center"/>
        <w:textAlignment w:val="auto"/>
        <w:rPr>
          <w:rFonts w:hint="eastAsia" w:hAnsi="宋体" w:asciiTheme="minorEastAsia" w:eastAsiaTheme="minorEastAsia"/>
          <w:color w:val="000000" w:themeColor="text1"/>
          <w:sz w:val="84"/>
          <w:szCs w:val="84"/>
        </w:rPr>
      </w:pPr>
    </w:p>
    <w:p>
      <w:pPr>
        <w:pageBreakBefore w:val="0"/>
        <w:widowControl/>
        <w:kinsoku/>
        <w:wordWrap/>
        <w:overflowPunct/>
        <w:topLinePunct w:val="0"/>
        <w:autoSpaceDE/>
        <w:autoSpaceDN/>
        <w:bidi w:val="0"/>
        <w:adjustRightInd w:val="0"/>
        <w:spacing w:after="0" w:line="240" w:lineRule="auto"/>
        <w:ind w:left="0" w:leftChars="0" w:firstLine="0" w:firstLineChars="0"/>
        <w:jc w:val="center"/>
        <w:textAlignment w:val="auto"/>
        <w:rPr>
          <w:rFonts w:hint="eastAsia" w:hAnsi="宋体" w:asciiTheme="minorEastAsia" w:eastAsiaTheme="minorEastAsia"/>
          <w:color w:val="000000" w:themeColor="text1"/>
          <w:sz w:val="84"/>
          <w:szCs w:val="84"/>
        </w:rPr>
      </w:pPr>
      <w:r>
        <w:rPr>
          <w:rFonts w:hint="eastAsia" w:hAnsi="宋体" w:asciiTheme="minorEastAsia" w:eastAsiaTheme="minorEastAsia"/>
          <w:color w:val="000000" w:themeColor="text1"/>
          <w:sz w:val="84"/>
          <w:szCs w:val="84"/>
        </w:rPr>
        <w:t>第四</w:t>
      </w:r>
      <w:r>
        <w:rPr>
          <w:rFonts w:hint="eastAsia" w:hAnsi="宋体" w:asciiTheme="minorEastAsia" w:eastAsiaTheme="minorEastAsia"/>
          <w:color w:val="000000" w:themeColor="text1"/>
          <w:sz w:val="84"/>
          <w:szCs w:val="84"/>
          <w:lang w:val="en-US" w:eastAsia="zh-CN"/>
        </w:rPr>
        <w:t>部</w:t>
      </w:r>
      <w:r>
        <w:rPr>
          <w:rFonts w:hint="eastAsia" w:hAnsi="宋体" w:asciiTheme="minorEastAsia" w:eastAsiaTheme="minorEastAsia"/>
          <w:color w:val="000000" w:themeColor="text1"/>
          <w:sz w:val="84"/>
          <w:szCs w:val="84"/>
        </w:rPr>
        <w:t>分</w:t>
      </w:r>
    </w:p>
    <w:p>
      <w:pPr>
        <w:pageBreakBefore w:val="0"/>
        <w:widowControl/>
        <w:kinsoku/>
        <w:wordWrap/>
        <w:overflowPunct/>
        <w:topLinePunct w:val="0"/>
        <w:autoSpaceDE/>
        <w:autoSpaceDN/>
        <w:bidi w:val="0"/>
        <w:adjustRightInd w:val="0"/>
        <w:spacing w:after="0" w:line="240" w:lineRule="auto"/>
        <w:ind w:left="0" w:leftChars="0" w:firstLine="0" w:firstLineChars="0"/>
        <w:jc w:val="center"/>
        <w:textAlignment w:val="auto"/>
        <w:rPr>
          <w:color w:val="000000" w:themeColor="text1"/>
          <w:sz w:val="84"/>
          <w:szCs w:val="84"/>
        </w:rPr>
      </w:pPr>
      <w:r>
        <w:rPr>
          <w:rFonts w:hint="eastAsia" w:hAnsi="宋体" w:asciiTheme="minorEastAsia" w:eastAsiaTheme="minorEastAsia"/>
          <w:color w:val="000000" w:themeColor="text1"/>
          <w:sz w:val="84"/>
          <w:szCs w:val="84"/>
        </w:rPr>
        <w:t>名词解释</w:t>
      </w:r>
    </w:p>
    <w:p>
      <w:pPr>
        <w:pageBreakBefore w:val="0"/>
        <w:kinsoku/>
        <w:wordWrap/>
        <w:overflowPunct/>
        <w:topLinePunct w:val="0"/>
        <w:autoSpaceDE/>
        <w:autoSpaceDN/>
        <w:bidi w:val="0"/>
        <w:adjustRightInd w:val="0"/>
        <w:spacing w:after="0" w:line="240" w:lineRule="auto"/>
        <w:ind w:left="0" w:leftChars="0" w:firstLine="0" w:firstLineChars="0"/>
        <w:jc w:val="center"/>
        <w:textAlignment w:val="auto"/>
        <w:rPr>
          <w:rFonts w:ascii="宋体" w:hAnsi="宋体" w:cs="ArialUnicodeMS"/>
          <w:color w:val="000000"/>
          <w:kern w:val="0"/>
          <w:sz w:val="84"/>
          <w:szCs w:val="84"/>
        </w:rPr>
        <w:sectPr>
          <w:pgSz w:w="11906" w:h="16838"/>
          <w:pgMar w:top="2098" w:right="1474" w:bottom="1984" w:left="1588" w:header="851" w:footer="992" w:gutter="0"/>
          <w:cols w:space="0" w:num="1"/>
          <w:docGrid w:type="lines" w:linePitch="312" w:charSpace="0"/>
        </w:sectPr>
      </w:pP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（一）财政拨款收入：本年度从本级财政部门取得的财政拨款，包括一般公共预算财政拨款和政府性基金预算财政拨款。</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（二）事业收入：指事业单位开展专业业务活动及辅助活动所取得的收入。</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（三）其他收入：指除上述“财政拨款收入”“事业收入”“经营收入”等以外的收入。</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（五）年初结转和结余：指以前年度尚未完成、结转到本年仍按原规定用途继续使用的资金，或项目已完成等产生的结余资金。</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（六）结余分配：指事业单位按照事业单位会计制度的规定从非财政补助结余中分配的事业基金和职工福利基金等。</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（七）年末结转和结余：指单位按有关规定结转到下年或以后年度继续使用的资金，或项目已完成等产生的结余资金。</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（八）基本支出：填列单位为保障机构正常运转、完成日常工作任务而发生的各项支出。</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（九）项目支出：填列单位为完成特定的行政工作任务或事业发展目标，在基本支出之外发生的各项支出</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（十）资本性支出（基本建设）：填列切块由发展改革部门安排的基本建设支出，对企业补助支出不在此科目反映。</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（十一）资本性支出：填列各单位安排的资本性支出。切块由发展改革部门安排的基本建设支出不在此科目反映。</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（十三）其他交通费用：填列单位除公务用车运行维护费以外的其他交通费用。如公务交通补贴、租车费用、出租车费用、飞机、船舶等的燃料费、维修费、保险费等。</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（十四）公务用车购置：填列单位公务用车购置支出（含车辆购置税、牌照费）。</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（十五）其他交通工具购置：填列单位除公务用车外的其他各类交通工具（如船舶、飞机）购置支出（含车辆购置税、牌照费）。</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r>
        <w:rPr>
          <w:rFonts w:hint="eastAsia" w:ascii="仿宋" w:hAnsi="仿宋" w:eastAsia="仿宋" w:cs="仿宋"/>
          <w:b w:val="0"/>
          <w:bCs w:val="0"/>
          <w:color w:val="333333"/>
          <w:kern w:val="0"/>
          <w:sz w:val="32"/>
          <w:szCs w:val="32"/>
          <w:shd w:val="clear" w:color="auto" w:fill="FFFFFF"/>
          <w:lang w:val="en-US" w:eastAsia="zh-CN" w:bidi="ar-SA"/>
        </w:rPr>
        <w:t>（十七）经费形式:按照经费来源，可分为财政拨款、财政性资金基本保证、财政性资金定额或定项补助、财政性资金零补助四类。</w:t>
      </w: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p>
    <w:p>
      <w:pPr>
        <w:pageBreakBefore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eastAsia" w:ascii="仿宋" w:hAnsi="仿宋" w:eastAsia="仿宋" w:cs="仿宋"/>
          <w:b w:val="0"/>
          <w:bCs w:val="0"/>
          <w:color w:val="333333"/>
          <w:kern w:val="0"/>
          <w:sz w:val="32"/>
          <w:szCs w:val="32"/>
          <w:shd w:val="clear" w:color="auto" w:fill="FFFFFF"/>
          <w:lang w:val="en-US" w:eastAsia="zh-CN" w:bidi="ar-SA"/>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5AF61D-DB61-4398-9C10-787486B6C0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5DA14E98-D34A-40DA-A4AE-03309A05298A}"/>
  </w:font>
  <w:font w:name="楷体">
    <w:panose1 w:val="02010609060101010101"/>
    <w:charset w:val="86"/>
    <w:family w:val="modern"/>
    <w:pitch w:val="default"/>
    <w:sig w:usb0="800002BF" w:usb1="38CF7CFA" w:usb2="00000016" w:usb3="00000000" w:csb0="00040001" w:csb1="00000000"/>
    <w:embedRegular r:id="rId3" w:fontKey="{3016AC5B-8098-4FC4-AB55-AF640D71BBDF}"/>
  </w:font>
  <w:font w:name="仿宋">
    <w:panose1 w:val="02010609060101010101"/>
    <w:charset w:val="86"/>
    <w:family w:val="modern"/>
    <w:pitch w:val="default"/>
    <w:sig w:usb0="800002BF" w:usb1="38CF7CFA" w:usb2="00000016" w:usb3="00000000" w:csb0="00040001" w:csb1="00000000"/>
    <w:embedRegular r:id="rId4" w:fontKey="{FE6BA64F-7A08-48C8-A6CA-34CF75DB9BBD}"/>
  </w:font>
  <w:font w:name="仿宋_GB2312">
    <w:panose1 w:val="02010609030101010101"/>
    <w:charset w:val="86"/>
    <w:family w:val="modern"/>
    <w:pitch w:val="default"/>
    <w:sig w:usb0="00000000" w:usb1="00000000" w:usb2="00000000" w:usb3="00000000" w:csb0="00000000" w:csb1="00000000"/>
    <w:embedRegular r:id="rId5" w:fontKey="{0630595B-4086-43FC-863C-AC9A249C79D5}"/>
  </w:font>
  <w:font w:name="ArialUnicodeMS">
    <w:altName w:val="Malgun Gothic"/>
    <w:panose1 w:val="00000000000000000000"/>
    <w:charset w:val="81"/>
    <w:family w:val="auto"/>
    <w:pitch w:val="default"/>
    <w:sig w:usb0="00000000" w:usb1="00000000" w:usb2="00000010" w:usb3="00000000" w:csb0="00080001" w:csb1="00000000"/>
    <w:embedRegular r:id="rId6" w:fontKey="{164DFF56-A4AD-439F-B25F-BCEF4A6BB152}"/>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36451"/>
    <w:multiLevelType w:val="singleLevel"/>
    <w:tmpl w:val="39E36451"/>
    <w:lvl w:ilvl="0" w:tentative="0">
      <w:start w:val="1"/>
      <w:numFmt w:val="chineseCounting"/>
      <w:suff w:val="space"/>
      <w:lvlText w:val="第%1部分"/>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753D3A76"/>
    <w:multiLevelType w:val="singleLevel"/>
    <w:tmpl w:val="753D3A76"/>
    <w:lvl w:ilvl="0" w:tentative="0">
      <w:start w:val="3"/>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1413"/>
    <w:rsid w:val="00020FAF"/>
    <w:rsid w:val="00022474"/>
    <w:rsid w:val="00024E7F"/>
    <w:rsid w:val="000475A0"/>
    <w:rsid w:val="00067693"/>
    <w:rsid w:val="000838C3"/>
    <w:rsid w:val="000B2446"/>
    <w:rsid w:val="000D7C65"/>
    <w:rsid w:val="000E2F81"/>
    <w:rsid w:val="00101F8D"/>
    <w:rsid w:val="00117946"/>
    <w:rsid w:val="00117E2C"/>
    <w:rsid w:val="00146C47"/>
    <w:rsid w:val="00152FB8"/>
    <w:rsid w:val="00176658"/>
    <w:rsid w:val="0018239E"/>
    <w:rsid w:val="001B3410"/>
    <w:rsid w:val="001B7503"/>
    <w:rsid w:val="001C030D"/>
    <w:rsid w:val="001C4A84"/>
    <w:rsid w:val="001E5902"/>
    <w:rsid w:val="00233705"/>
    <w:rsid w:val="00246D99"/>
    <w:rsid w:val="00257266"/>
    <w:rsid w:val="00262306"/>
    <w:rsid w:val="00275CA2"/>
    <w:rsid w:val="002A65A5"/>
    <w:rsid w:val="002C04C4"/>
    <w:rsid w:val="002D08B0"/>
    <w:rsid w:val="002D1AE3"/>
    <w:rsid w:val="002F2ECE"/>
    <w:rsid w:val="00341C8F"/>
    <w:rsid w:val="0035463A"/>
    <w:rsid w:val="00391D9D"/>
    <w:rsid w:val="003B6C51"/>
    <w:rsid w:val="003C1413"/>
    <w:rsid w:val="003C549F"/>
    <w:rsid w:val="003D5A16"/>
    <w:rsid w:val="003E7DB3"/>
    <w:rsid w:val="00431175"/>
    <w:rsid w:val="004374A3"/>
    <w:rsid w:val="00493686"/>
    <w:rsid w:val="004B6E37"/>
    <w:rsid w:val="004C32BA"/>
    <w:rsid w:val="004C68EF"/>
    <w:rsid w:val="00575922"/>
    <w:rsid w:val="005A3C0D"/>
    <w:rsid w:val="005A6C90"/>
    <w:rsid w:val="005B37E6"/>
    <w:rsid w:val="005E3FB0"/>
    <w:rsid w:val="005F4B66"/>
    <w:rsid w:val="005F5208"/>
    <w:rsid w:val="00615C31"/>
    <w:rsid w:val="00641318"/>
    <w:rsid w:val="0064405D"/>
    <w:rsid w:val="00695557"/>
    <w:rsid w:val="006D4EA7"/>
    <w:rsid w:val="0070012A"/>
    <w:rsid w:val="0070664B"/>
    <w:rsid w:val="007071B8"/>
    <w:rsid w:val="007155C2"/>
    <w:rsid w:val="007414DE"/>
    <w:rsid w:val="00760C0C"/>
    <w:rsid w:val="007905A9"/>
    <w:rsid w:val="007E072B"/>
    <w:rsid w:val="007E5500"/>
    <w:rsid w:val="007F055B"/>
    <w:rsid w:val="00811C2F"/>
    <w:rsid w:val="00833D46"/>
    <w:rsid w:val="00836215"/>
    <w:rsid w:val="00840A97"/>
    <w:rsid w:val="00872B02"/>
    <w:rsid w:val="00873292"/>
    <w:rsid w:val="008A640A"/>
    <w:rsid w:val="008C0149"/>
    <w:rsid w:val="008D5DED"/>
    <w:rsid w:val="008E25CA"/>
    <w:rsid w:val="008F34FC"/>
    <w:rsid w:val="00944CD7"/>
    <w:rsid w:val="00961190"/>
    <w:rsid w:val="009831B2"/>
    <w:rsid w:val="009A1ABE"/>
    <w:rsid w:val="009E21A4"/>
    <w:rsid w:val="009F22C6"/>
    <w:rsid w:val="00A07E50"/>
    <w:rsid w:val="00A12C15"/>
    <w:rsid w:val="00A15397"/>
    <w:rsid w:val="00A35CE0"/>
    <w:rsid w:val="00A4462E"/>
    <w:rsid w:val="00A44AA4"/>
    <w:rsid w:val="00A61623"/>
    <w:rsid w:val="00A84687"/>
    <w:rsid w:val="00AA0458"/>
    <w:rsid w:val="00AB0A0E"/>
    <w:rsid w:val="00AD3B6E"/>
    <w:rsid w:val="00AF6D31"/>
    <w:rsid w:val="00B1751F"/>
    <w:rsid w:val="00B50F96"/>
    <w:rsid w:val="00B56722"/>
    <w:rsid w:val="00B67044"/>
    <w:rsid w:val="00B74D39"/>
    <w:rsid w:val="00B827C6"/>
    <w:rsid w:val="00B91DA4"/>
    <w:rsid w:val="00BA7174"/>
    <w:rsid w:val="00C12630"/>
    <w:rsid w:val="00C34562"/>
    <w:rsid w:val="00C3774E"/>
    <w:rsid w:val="00C57456"/>
    <w:rsid w:val="00C65387"/>
    <w:rsid w:val="00C87FAB"/>
    <w:rsid w:val="00C91FF7"/>
    <w:rsid w:val="00C92D15"/>
    <w:rsid w:val="00C94E53"/>
    <w:rsid w:val="00CE3FC3"/>
    <w:rsid w:val="00D0048E"/>
    <w:rsid w:val="00D23E7A"/>
    <w:rsid w:val="00D56D8F"/>
    <w:rsid w:val="00D61063"/>
    <w:rsid w:val="00DB35AF"/>
    <w:rsid w:val="00DD72D7"/>
    <w:rsid w:val="00DF5B88"/>
    <w:rsid w:val="00E0589E"/>
    <w:rsid w:val="00E0697F"/>
    <w:rsid w:val="00E241FA"/>
    <w:rsid w:val="00E2595E"/>
    <w:rsid w:val="00E35374"/>
    <w:rsid w:val="00E50C19"/>
    <w:rsid w:val="00E64655"/>
    <w:rsid w:val="00E73081"/>
    <w:rsid w:val="00E856C9"/>
    <w:rsid w:val="00EA4F68"/>
    <w:rsid w:val="00EB6A8B"/>
    <w:rsid w:val="00EC6814"/>
    <w:rsid w:val="00ED411D"/>
    <w:rsid w:val="00EF38C6"/>
    <w:rsid w:val="00F679C7"/>
    <w:rsid w:val="00F7711A"/>
    <w:rsid w:val="00F80C72"/>
    <w:rsid w:val="00FA0D58"/>
    <w:rsid w:val="00FA1580"/>
    <w:rsid w:val="00FA56F4"/>
    <w:rsid w:val="00FB4EDA"/>
    <w:rsid w:val="00FD3BD5"/>
    <w:rsid w:val="00FE3DC8"/>
    <w:rsid w:val="04073F84"/>
    <w:rsid w:val="05510608"/>
    <w:rsid w:val="05B600D5"/>
    <w:rsid w:val="066367C2"/>
    <w:rsid w:val="087E48D9"/>
    <w:rsid w:val="0A8369EB"/>
    <w:rsid w:val="0B60750A"/>
    <w:rsid w:val="0CC3393F"/>
    <w:rsid w:val="10686488"/>
    <w:rsid w:val="10752928"/>
    <w:rsid w:val="10DF728A"/>
    <w:rsid w:val="1264200E"/>
    <w:rsid w:val="13C21512"/>
    <w:rsid w:val="141C5B77"/>
    <w:rsid w:val="14CA6B8C"/>
    <w:rsid w:val="18D8339D"/>
    <w:rsid w:val="1A21388F"/>
    <w:rsid w:val="1A570D2F"/>
    <w:rsid w:val="1B2E1145"/>
    <w:rsid w:val="1C940C21"/>
    <w:rsid w:val="1CC304B2"/>
    <w:rsid w:val="1D300343"/>
    <w:rsid w:val="20911BD6"/>
    <w:rsid w:val="23737A7D"/>
    <w:rsid w:val="28FB0B8D"/>
    <w:rsid w:val="29671A33"/>
    <w:rsid w:val="2D2B7942"/>
    <w:rsid w:val="2D46481D"/>
    <w:rsid w:val="2E733B28"/>
    <w:rsid w:val="31852B5A"/>
    <w:rsid w:val="32D01238"/>
    <w:rsid w:val="3317198C"/>
    <w:rsid w:val="33B37D08"/>
    <w:rsid w:val="35C44216"/>
    <w:rsid w:val="36B13CE3"/>
    <w:rsid w:val="3B117250"/>
    <w:rsid w:val="3B42366D"/>
    <w:rsid w:val="3D0F2BDD"/>
    <w:rsid w:val="3DFC59A8"/>
    <w:rsid w:val="3ECF245E"/>
    <w:rsid w:val="3FB96314"/>
    <w:rsid w:val="42796327"/>
    <w:rsid w:val="44715511"/>
    <w:rsid w:val="46C454DF"/>
    <w:rsid w:val="4CE87277"/>
    <w:rsid w:val="4D8B0678"/>
    <w:rsid w:val="50B72543"/>
    <w:rsid w:val="50FC419D"/>
    <w:rsid w:val="52D9075F"/>
    <w:rsid w:val="53A44FAF"/>
    <w:rsid w:val="54724FE1"/>
    <w:rsid w:val="54F472FB"/>
    <w:rsid w:val="57805D28"/>
    <w:rsid w:val="594329EC"/>
    <w:rsid w:val="5B9602EE"/>
    <w:rsid w:val="5BEE1540"/>
    <w:rsid w:val="5C573C0D"/>
    <w:rsid w:val="5DCF7964"/>
    <w:rsid w:val="5DE61A5D"/>
    <w:rsid w:val="5E335888"/>
    <w:rsid w:val="6055681D"/>
    <w:rsid w:val="61050CE6"/>
    <w:rsid w:val="623E16D7"/>
    <w:rsid w:val="633F7B0F"/>
    <w:rsid w:val="63C04243"/>
    <w:rsid w:val="63F3559F"/>
    <w:rsid w:val="649C01C7"/>
    <w:rsid w:val="64DD56BB"/>
    <w:rsid w:val="67155F69"/>
    <w:rsid w:val="677A2018"/>
    <w:rsid w:val="699A3F60"/>
    <w:rsid w:val="69BD0743"/>
    <w:rsid w:val="6BFB667D"/>
    <w:rsid w:val="72902E62"/>
    <w:rsid w:val="738F2183"/>
    <w:rsid w:val="73C61104"/>
    <w:rsid w:val="74BD6775"/>
    <w:rsid w:val="75605224"/>
    <w:rsid w:val="776452EA"/>
    <w:rsid w:val="79FF2387"/>
    <w:rsid w:val="7DC663B9"/>
    <w:rsid w:val="7FD21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Date"/>
    <w:basedOn w:val="1"/>
    <w:next w:val="1"/>
    <w:link w:val="32"/>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2"/>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rPr>
  </w:style>
  <w:style w:type="paragraph" w:styleId="11">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12">
    <w:name w:val="Title"/>
    <w:basedOn w:val="1"/>
    <w:next w:val="1"/>
    <w:link w:val="21"/>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A2C23" w:themeColor="text2" w:themeShade="BF"/>
      <w:spacing w:val="5"/>
      <w:kern w:val="28"/>
      <w:sz w:val="52"/>
      <w:szCs w:val="52"/>
    </w:rPr>
  </w:style>
  <w:style w:type="table" w:styleId="14">
    <w:name w:val="Table Grid"/>
    <w:basedOn w:val="13"/>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6">
    <w:name w:val="页眉 Char"/>
    <w:basedOn w:val="15"/>
    <w:link w:val="9"/>
    <w:qFormat/>
    <w:uiPriority w:val="99"/>
    <w:rPr>
      <w:sz w:val="18"/>
      <w:szCs w:val="18"/>
    </w:rPr>
  </w:style>
  <w:style w:type="character" w:customStyle="1" w:styleId="17">
    <w:name w:val="页脚 Char"/>
    <w:basedOn w:val="15"/>
    <w:link w:val="8"/>
    <w:qFormat/>
    <w:uiPriority w:val="99"/>
    <w:rPr>
      <w:sz w:val="18"/>
      <w:szCs w:val="18"/>
    </w:rPr>
  </w:style>
  <w:style w:type="paragraph" w:styleId="18">
    <w:name w:val="No Spacing"/>
    <w:link w:val="19"/>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9">
    <w:name w:val="无间隔 Char"/>
    <w:basedOn w:val="15"/>
    <w:link w:val="18"/>
    <w:qFormat/>
    <w:uiPriority w:val="1"/>
    <w:rPr>
      <w:kern w:val="0"/>
      <w:sz w:val="22"/>
    </w:rPr>
  </w:style>
  <w:style w:type="character" w:customStyle="1" w:styleId="20">
    <w:name w:val="批注框文本 Char"/>
    <w:basedOn w:val="15"/>
    <w:link w:val="7"/>
    <w:semiHidden/>
    <w:qFormat/>
    <w:uiPriority w:val="99"/>
    <w:rPr>
      <w:rFonts w:ascii="Times New Roman" w:hAnsi="Times New Roman" w:eastAsia="宋体" w:cs="Times New Roman"/>
      <w:sz w:val="18"/>
      <w:szCs w:val="18"/>
    </w:rPr>
  </w:style>
  <w:style w:type="character" w:customStyle="1" w:styleId="21">
    <w:name w:val="标题 Char"/>
    <w:basedOn w:val="15"/>
    <w:link w:val="12"/>
    <w:qFormat/>
    <w:uiPriority w:val="10"/>
    <w:rPr>
      <w:rFonts w:asciiTheme="majorHAnsi" w:hAnsiTheme="majorHAnsi" w:eastAsiaTheme="majorEastAsia" w:cstheme="majorBidi"/>
      <w:color w:val="3A2C23" w:themeColor="text2" w:themeShade="BF"/>
      <w:spacing w:val="5"/>
      <w:kern w:val="28"/>
      <w:sz w:val="52"/>
      <w:szCs w:val="52"/>
    </w:rPr>
  </w:style>
  <w:style w:type="character" w:customStyle="1" w:styleId="22">
    <w:name w:val="副标题 Char"/>
    <w:basedOn w:val="15"/>
    <w:link w:val="10"/>
    <w:qFormat/>
    <w:uiPriority w:val="11"/>
    <w:rPr>
      <w:rFonts w:asciiTheme="majorHAnsi" w:hAnsiTheme="majorHAnsi" w:eastAsiaTheme="majorEastAsia" w:cstheme="majorBidi"/>
      <w:i/>
      <w:iCs/>
      <w:color w:val="F0A22E" w:themeColor="accent1"/>
      <w:spacing w:val="15"/>
      <w:kern w:val="0"/>
      <w:sz w:val="24"/>
      <w:szCs w:val="24"/>
    </w:rPr>
  </w:style>
  <w:style w:type="character" w:customStyle="1" w:styleId="23">
    <w:name w:val="Style1"/>
    <w:basedOn w:val="15"/>
    <w:qFormat/>
    <w:uiPriority w:val="1"/>
    <w:rPr>
      <w:rFonts w:asciiTheme="minorHAnsi" w:hAnsiTheme="minorEastAsia" w:eastAsiaTheme="minorEastAsia" w:cstheme="minorBidi"/>
      <w:sz w:val="22"/>
      <w:szCs w:val="22"/>
      <w:lang w:eastAsia="zh-CN"/>
    </w:rPr>
  </w:style>
  <w:style w:type="character" w:customStyle="1" w:styleId="24">
    <w:name w:val="Style2"/>
    <w:basedOn w:val="15"/>
    <w:qFormat/>
    <w:uiPriority w:val="1"/>
    <w:rPr>
      <w:rFonts w:asciiTheme="minorHAnsi" w:hAnsiTheme="minorEastAsia" w:eastAsiaTheme="minorEastAsia" w:cstheme="minorBidi"/>
      <w:sz w:val="22"/>
      <w:szCs w:val="22"/>
      <w:lang w:eastAsia="zh-CN"/>
    </w:rPr>
  </w:style>
  <w:style w:type="character" w:customStyle="1" w:styleId="25">
    <w:name w:val="Style3"/>
    <w:basedOn w:val="15"/>
    <w:qFormat/>
    <w:uiPriority w:val="1"/>
    <w:rPr>
      <w:rFonts w:asciiTheme="minorHAnsi" w:hAnsiTheme="minorEastAsia" w:eastAsiaTheme="minorEastAsia" w:cstheme="minorBidi"/>
      <w:szCs w:val="22"/>
      <w:lang w:eastAsia="zh-CN"/>
    </w:rPr>
  </w:style>
  <w:style w:type="character" w:customStyle="1" w:styleId="26">
    <w:name w:val="Style4"/>
    <w:basedOn w:val="15"/>
    <w:qFormat/>
    <w:uiPriority w:val="1"/>
    <w:rPr>
      <w:rFonts w:asciiTheme="minorHAnsi" w:hAnsiTheme="minorEastAsia" w:eastAsiaTheme="minorEastAsia" w:cstheme="minorBidi"/>
      <w:szCs w:val="22"/>
      <w:lang w:eastAsia="zh-CN"/>
    </w:rPr>
  </w:style>
  <w:style w:type="character" w:customStyle="1" w:styleId="27">
    <w:name w:val="Style5"/>
    <w:basedOn w:val="15"/>
    <w:qFormat/>
    <w:uiPriority w:val="1"/>
    <w:rPr>
      <w:rFonts w:asciiTheme="minorHAnsi" w:hAnsiTheme="minorEastAsia" w:eastAsiaTheme="minorEastAsia" w:cstheme="minorBidi"/>
      <w:sz w:val="22"/>
      <w:szCs w:val="22"/>
      <w:lang w:eastAsia="zh-CN"/>
    </w:rPr>
  </w:style>
  <w:style w:type="character" w:customStyle="1" w:styleId="28">
    <w:name w:val="标题 1 Char"/>
    <w:basedOn w:val="15"/>
    <w:link w:val="2"/>
    <w:qFormat/>
    <w:uiPriority w:val="9"/>
    <w:rPr>
      <w:rFonts w:ascii="Times New Roman" w:hAnsi="Times New Roman" w:eastAsia="宋体" w:cs="Times New Roman"/>
      <w:b/>
      <w:bCs/>
      <w:kern w:val="44"/>
      <w:sz w:val="44"/>
      <w:szCs w:val="44"/>
    </w:rPr>
  </w:style>
  <w:style w:type="character" w:customStyle="1" w:styleId="29">
    <w:name w:val="标题 2 Char"/>
    <w:basedOn w:val="15"/>
    <w:link w:val="3"/>
    <w:qFormat/>
    <w:uiPriority w:val="9"/>
    <w:rPr>
      <w:rFonts w:asciiTheme="majorHAnsi" w:hAnsiTheme="majorHAnsi" w:eastAsiaTheme="majorEastAsia" w:cstheme="majorBidi"/>
      <w:b/>
      <w:bCs/>
      <w:sz w:val="32"/>
      <w:szCs w:val="32"/>
    </w:rPr>
  </w:style>
  <w:style w:type="character" w:customStyle="1" w:styleId="30">
    <w:name w:val="标题 3 Char"/>
    <w:basedOn w:val="15"/>
    <w:link w:val="4"/>
    <w:qFormat/>
    <w:uiPriority w:val="9"/>
    <w:rPr>
      <w:rFonts w:ascii="Times New Roman" w:hAnsi="Times New Roman" w:eastAsia="宋体" w:cs="Times New Roman"/>
      <w:b/>
      <w:bCs/>
      <w:sz w:val="32"/>
      <w:szCs w:val="32"/>
    </w:rPr>
  </w:style>
  <w:style w:type="character" w:customStyle="1" w:styleId="31">
    <w:name w:val="标题 4 Char"/>
    <w:basedOn w:val="15"/>
    <w:link w:val="5"/>
    <w:qFormat/>
    <w:uiPriority w:val="9"/>
    <w:rPr>
      <w:rFonts w:asciiTheme="majorHAnsi" w:hAnsiTheme="majorHAnsi" w:eastAsiaTheme="majorEastAsia" w:cstheme="majorBidi"/>
      <w:b/>
      <w:bCs/>
      <w:sz w:val="28"/>
      <w:szCs w:val="28"/>
    </w:rPr>
  </w:style>
  <w:style w:type="character" w:customStyle="1" w:styleId="32">
    <w:name w:val="日期 Char"/>
    <w:basedOn w:val="15"/>
    <w:link w:val="6"/>
    <w:semiHidden/>
    <w:qFormat/>
    <w:uiPriority w:val="99"/>
    <w:rPr>
      <w:rFonts w:ascii="Times New Roman" w:hAnsi="Times New Roman" w:eastAsia="宋体" w:cs="Times New Roman"/>
      <w:szCs w:val="24"/>
    </w:rPr>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CoverPageProperties xmlns="http://schemas.microsoft.com/office/2006/coverPageProps">
  <PublishDate>2017</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1D59DA58-3CA2-4856-9A51-CD581AE1A7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1657</Words>
  <Characters>9446</Characters>
  <Lines>78</Lines>
  <Paragraphs>22</Paragraphs>
  <TotalTime>1</TotalTime>
  <ScaleCrop>false</ScaleCrop>
  <LinksUpToDate>false</LinksUpToDate>
  <CharactersWithSpaces>11081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Administrator</cp:lastModifiedBy>
  <cp:lastPrinted>2019-09-27T00:42:00Z</cp:lastPrinted>
  <dcterms:modified xsi:type="dcterms:W3CDTF">2021-05-28T02:37:04Z</dcterms:modified>
  <dc:subject>石家庄市xxx部门</dc:subject>
  <dc:title>2017年度部门决算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6B7D9869781D4C2F996FB0B4481876AF</vt:lpwstr>
  </property>
</Properties>
</file>