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4" w:lineRule="exact"/>
        <w:ind w:firstLine="880" w:firstLineChars="200"/>
        <w:jc w:val="center"/>
        <w:rPr>
          <w:rFonts w:ascii="Times New Roman" w:hAnsi="Times New Roman" w:eastAsia="仿宋_GB2312"/>
          <w:sz w:val="44"/>
          <w:szCs w:val="44"/>
        </w:rPr>
      </w:pPr>
    </w:p>
    <w:p>
      <w:pPr>
        <w:spacing w:line="584" w:lineRule="exact"/>
        <w:ind w:firstLine="880" w:firstLineChars="200"/>
        <w:jc w:val="center"/>
        <w:rPr>
          <w:rFonts w:ascii="宋体"/>
          <w:sz w:val="44"/>
          <w:szCs w:val="44"/>
        </w:rPr>
      </w:pPr>
      <w:r>
        <w:rPr>
          <w:rFonts w:hint="eastAsia" w:ascii="宋体" w:hAnsi="宋体"/>
          <w:sz w:val="44"/>
          <w:szCs w:val="44"/>
        </w:rPr>
        <w:t>廊坊市文安县</w:t>
      </w:r>
      <w:r>
        <w:rPr>
          <w:rFonts w:hint="eastAsia" w:ascii="宋体" w:hAnsi="宋体"/>
          <w:sz w:val="44"/>
          <w:szCs w:val="44"/>
          <w:lang w:eastAsia="zh-CN"/>
        </w:rPr>
        <w:t>大围河乡</w:t>
      </w:r>
      <w:r>
        <w:rPr>
          <w:rFonts w:hint="eastAsia" w:ascii="宋体" w:hAnsi="宋体"/>
          <w:sz w:val="44"/>
          <w:szCs w:val="44"/>
        </w:rPr>
        <w:t>人民政府</w:t>
      </w:r>
      <w:r>
        <w:rPr>
          <w:rFonts w:ascii="宋体" w:hAnsi="宋体"/>
          <w:sz w:val="44"/>
          <w:szCs w:val="44"/>
        </w:rPr>
        <w:t>202</w:t>
      </w:r>
      <w:r>
        <w:rPr>
          <w:rFonts w:hint="eastAsia" w:ascii="宋体" w:hAnsi="宋体"/>
          <w:sz w:val="44"/>
          <w:szCs w:val="44"/>
          <w:lang w:val="en-US" w:eastAsia="zh-CN"/>
        </w:rPr>
        <w:t>3</w:t>
      </w:r>
      <w:r>
        <w:rPr>
          <w:rFonts w:hint="eastAsia" w:ascii="宋体" w:hAnsi="宋体"/>
          <w:sz w:val="44"/>
          <w:szCs w:val="44"/>
        </w:rPr>
        <w:t>年部门预算信息公开情况说明</w:t>
      </w:r>
    </w:p>
    <w:p>
      <w:pPr>
        <w:spacing w:line="584" w:lineRule="exact"/>
        <w:ind w:firstLine="880" w:firstLineChars="200"/>
        <w:jc w:val="center"/>
        <w:rPr>
          <w:rFonts w:ascii="Times New Roman" w:hAnsi="Times New Roman" w:eastAsia="仿宋_GB2312"/>
          <w:sz w:val="44"/>
          <w:szCs w:val="44"/>
        </w:rPr>
      </w:pPr>
    </w:p>
    <w:p>
      <w:pPr>
        <w:spacing w:line="584"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按照《预算法》、《地方预决算公开操作规程》和《河北省省级预算公开办法》规定，现将廊坊市文安县</w:t>
      </w:r>
      <w:r>
        <w:rPr>
          <w:rFonts w:hint="eastAsia" w:ascii="Times New Roman" w:hAnsi="Times New Roman" w:eastAsia="仿宋_GB2312"/>
          <w:sz w:val="32"/>
          <w:szCs w:val="32"/>
          <w:lang w:eastAsia="zh-CN"/>
        </w:rPr>
        <w:t>大围河乡</w:t>
      </w:r>
      <w:r>
        <w:rPr>
          <w:rFonts w:hint="eastAsia" w:ascii="Times New Roman" w:hAnsi="Times New Roman" w:eastAsia="仿宋_GB2312"/>
          <w:sz w:val="32"/>
          <w:szCs w:val="32"/>
        </w:rPr>
        <w:t>人民政府</w:t>
      </w:r>
      <w:r>
        <w:rPr>
          <w:rFonts w:ascii="Times New Roman" w:hAnsi="Times New Roman" w:eastAsia="仿宋_GB2312"/>
          <w:sz w:val="32"/>
          <w:szCs w:val="32"/>
        </w:rPr>
        <w:t>202</w:t>
      </w:r>
      <w:r>
        <w:rPr>
          <w:rFonts w:hint="eastAsia" w:ascii="Times New Roman" w:hAnsi="Times New Roman" w:eastAsia="仿宋_GB2312"/>
          <w:sz w:val="32"/>
          <w:szCs w:val="32"/>
          <w:lang w:val="en-US" w:eastAsia="zh-CN"/>
        </w:rPr>
        <w:t>3</w:t>
      </w:r>
      <w:r>
        <w:rPr>
          <w:rFonts w:hint="eastAsia" w:ascii="Times New Roman" w:hAnsi="Times New Roman" w:eastAsia="仿宋_GB2312"/>
          <w:sz w:val="32"/>
          <w:szCs w:val="32"/>
        </w:rPr>
        <w:t>年部门预算公开如下：</w:t>
      </w:r>
    </w:p>
    <w:p>
      <w:pPr>
        <w:spacing w:line="584" w:lineRule="exact"/>
        <w:ind w:firstLine="640" w:firstLineChars="200"/>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一、部门职责及机构设置情况</w:t>
      </w:r>
    </w:p>
    <w:p>
      <w:pPr>
        <w:spacing w:line="500" w:lineRule="exact"/>
        <w:ind w:firstLine="560"/>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rPr>
        <w:t>根据《文安县大围河乡人民政府职能配置、内设机构和人员编制规定》，文安县大围河乡人民政府的主要职责是：</w:t>
      </w:r>
    </w:p>
    <w:p>
      <w:pPr>
        <w:pStyle w:val="3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主要职能</w:t>
      </w:r>
    </w:p>
    <w:p>
      <w:pPr>
        <w:pStyle w:val="3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宣传贯彻执行党的路线方针政策和党中央、上级党组织及镇党员代表大会（党员大会）的决议；贯彻执行法律、法规、规章和上级人民代表大会及其常务委员会决议及上级政府的决定、命令，执行本级人民代表大会的决议。</w:t>
      </w:r>
    </w:p>
    <w:p>
      <w:pPr>
        <w:pStyle w:val="3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（二）讨论和决定镇经济建设、政治建设、文化建设、社会建设、生态文明建设和党的建设以及乡村振兴中的重大问题。</w:t>
      </w:r>
    </w:p>
    <w:p>
      <w:pPr>
        <w:pStyle w:val="3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（三）组织召开本级人民代表大会，充分行使重大事项决定权、监督权和任免权，做好人大代表工作，联系选民、反映群众意见和要求。</w:t>
      </w:r>
    </w:p>
    <w:p>
      <w:pPr>
        <w:pStyle w:val="3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执行本行政区域内的经济和社会发展计划、预算，管理本行政区域内的经济、教育、科学、文化、卫生健康、体育事业和财政、统计、民政、司法行政等行政工作；落实本行政区域内发展规划、专项规划、区域规划、国土空间规划。</w:t>
      </w:r>
    </w:p>
    <w:p>
      <w:pPr>
        <w:pStyle w:val="3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乡党委领导本乡政权机关、群团组织和其他各类组织，加强指导和规范，支持和保证这些机关和组织依照国家法律法规以及各自章程履行职责；坚持党管武装的根本原则和制度，协调各方力量，对乡人民武装工作实行统一领导。</w:t>
      </w:r>
    </w:p>
    <w:p>
      <w:pPr>
        <w:pStyle w:val="3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（六）加强乡党委自身建设和村党组织建设，以及其他隶属乡党委的党组织建设，抓好发展党员工作，加强党员队伍建设,维护和执行党的纪律，监督党员干部和其他任何工作人员严格遵守国家法律法规。</w:t>
      </w:r>
    </w:p>
    <w:p>
      <w:pPr>
        <w:pStyle w:val="3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（七）按照干部管理权限，负责对干部的教育、培训、选拔、考核和监督工作；协助管理上级有关部门驻镇单位的干部。做好人才服务工作。</w:t>
      </w:r>
    </w:p>
    <w:p>
      <w:pPr>
        <w:pStyle w:val="3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八）领导本乡的基层治理，加强社会主义民主法治建设和精神文明建设，加强社会治安综合治理，做好应急管理、生态环保、乡村振兴、民生保障、脱贫致富、民族宗教、防范邪教等工作；承担民兵预备役、征兵、退役军人服务、拥军优属等工作。</w:t>
      </w:r>
    </w:p>
    <w:p>
      <w:pPr>
        <w:pStyle w:val="3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九）保护社会主义的全民所有的财产和劳动群众集体所有的财产，保护公民私人所有的合法财产，维护社会秩序，保障公民的人身权利、民主权利和其他权利；保护各种经济组织的合法权益；保障各少数民族的合法权利和利益，尊重少数民族的风俗习惯；保障宪法和法律赋予妇女的男女平等、同工同酬和婚姻自由等各项权利。</w:t>
      </w:r>
    </w:p>
    <w:p>
      <w:pPr>
        <w:pStyle w:val="3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（十）承办上级党委、人大、政府交办的其他事项。</w:t>
      </w:r>
    </w:p>
    <w:p>
      <w:pPr>
        <w:pStyle w:val="37"/>
        <w:rPr>
          <w:rFonts w:hint="eastAsia" w:ascii="仿宋_GB2312" w:hAnsi="仿宋_GB2312" w:eastAsia="仿宋_GB2312" w:cs="仿宋_GB2312"/>
          <w:sz w:val="32"/>
          <w:szCs w:val="32"/>
        </w:rPr>
      </w:pPr>
    </w:p>
    <w:p>
      <w:pPr>
        <w:pStyle w:val="37"/>
        <w:rPr>
          <w:rFonts w:hint="eastAsia" w:ascii="仿宋_GB2312" w:hAnsi="仿宋_GB2312" w:eastAsia="仿宋_GB2312" w:cs="仿宋_GB2312"/>
          <w:sz w:val="32"/>
          <w:szCs w:val="32"/>
        </w:rPr>
      </w:pPr>
    </w:p>
    <w:p>
      <w:pPr>
        <w:pStyle w:val="37"/>
        <w:rPr>
          <w:rFonts w:hint="eastAsia" w:ascii="仿宋_GB2312" w:hAnsi="仿宋_GB2312" w:eastAsia="仿宋_GB2312" w:cs="仿宋_GB2312"/>
          <w:sz w:val="32"/>
          <w:szCs w:val="32"/>
        </w:rPr>
      </w:pPr>
    </w:p>
    <w:p>
      <w:pPr>
        <w:pStyle w:val="37"/>
        <w:rPr>
          <w:rFonts w:hint="eastAsia" w:ascii="仿宋_GB2312" w:hAnsi="仿宋_GB2312" w:eastAsia="仿宋_GB2312" w:cs="仿宋_GB2312"/>
          <w:sz w:val="32"/>
          <w:szCs w:val="32"/>
        </w:rPr>
      </w:pPr>
    </w:p>
    <w:p>
      <w:pPr>
        <w:pStyle w:val="37"/>
        <w:rPr>
          <w:rFonts w:hint="eastAsia" w:ascii="仿宋_GB2312" w:hAnsi="仿宋_GB2312" w:eastAsia="仿宋_GB2312" w:cs="仿宋_GB2312"/>
          <w:sz w:val="32"/>
          <w:szCs w:val="32"/>
        </w:rPr>
      </w:pPr>
    </w:p>
    <w:p>
      <w:pPr>
        <w:pStyle w:val="37"/>
        <w:rPr>
          <w:rFonts w:hint="eastAsia" w:ascii="仿宋_GB2312" w:hAnsi="仿宋_GB2312" w:eastAsia="仿宋_GB2312" w:cs="仿宋_GB2312"/>
          <w:sz w:val="32"/>
          <w:szCs w:val="32"/>
        </w:rPr>
      </w:pPr>
    </w:p>
    <w:p>
      <w:pPr>
        <w:pStyle w:val="37"/>
        <w:rPr>
          <w:rFonts w:hint="eastAsia" w:ascii="仿宋_GB2312" w:hAnsi="仿宋_GB2312" w:eastAsia="仿宋_GB2312" w:cs="仿宋_GB2312"/>
          <w:sz w:val="32"/>
          <w:szCs w:val="32"/>
        </w:rPr>
      </w:pPr>
    </w:p>
    <w:p>
      <w:pPr>
        <w:autoSpaceDE w:val="0"/>
        <w:autoSpaceDN w:val="0"/>
        <w:adjustRightInd w:val="0"/>
        <w:spacing w:line="584" w:lineRule="exact"/>
        <w:jc w:val="left"/>
        <w:rPr>
          <w:rFonts w:ascii="Times New Roman" w:hAnsi="Times New Roman" w:eastAsia="楷体_GB2312"/>
          <w:b/>
          <w:sz w:val="32"/>
          <w:szCs w:val="32"/>
        </w:rPr>
      </w:pPr>
      <w:r>
        <w:rPr>
          <w:rFonts w:hint="eastAsia" w:ascii="Times New Roman" w:hAnsi="Times New Roman" w:eastAsia="楷体_GB2312"/>
          <w:b/>
          <w:sz w:val="32"/>
          <w:szCs w:val="32"/>
        </w:rPr>
        <w:t>机构设置：</w:t>
      </w:r>
    </w:p>
    <w:p>
      <w:pPr>
        <w:spacing w:line="584" w:lineRule="exact"/>
        <w:jc w:val="center"/>
        <w:outlineLvl w:val="0"/>
        <w:rPr>
          <w:rFonts w:ascii="Times New Roman" w:hAnsi="Times New Roman" w:eastAsia="仿宋_GB2312"/>
          <w:b/>
          <w:sz w:val="32"/>
          <w:szCs w:val="24"/>
        </w:rPr>
      </w:pPr>
      <w:r>
        <w:rPr>
          <w:rFonts w:hint="eastAsia" w:ascii="Times New Roman" w:hAnsi="Times New Roman" w:eastAsia="仿宋_GB2312"/>
          <w:b/>
          <w:sz w:val="32"/>
          <w:szCs w:val="24"/>
        </w:rPr>
        <w:t>部门机构设置情况</w:t>
      </w:r>
    </w:p>
    <w:tbl>
      <w:tblPr>
        <w:tblStyle w:val="11"/>
        <w:tblW w:w="975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443"/>
        <w:gridCol w:w="1134"/>
        <w:gridCol w:w="1276"/>
        <w:gridCol w:w="29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4" w:hRule="atLeast"/>
          <w:tblHeader/>
          <w:jc w:val="center"/>
        </w:trPr>
        <w:tc>
          <w:tcPr>
            <w:tcW w:w="4443" w:type="dxa"/>
            <w:vMerge w:val="restart"/>
            <w:vAlign w:val="center"/>
          </w:tcPr>
          <w:p>
            <w:pPr>
              <w:spacing w:line="584" w:lineRule="exact"/>
              <w:jc w:val="center"/>
              <w:rPr>
                <w:rFonts w:ascii="Times New Roman" w:hAnsi="Times New Roman" w:eastAsia="仿宋_GB2312"/>
                <w:b/>
                <w:szCs w:val="24"/>
              </w:rPr>
            </w:pPr>
            <w:r>
              <w:rPr>
                <w:rFonts w:hint="eastAsia" w:ascii="Times New Roman" w:hAnsi="Times New Roman" w:eastAsia="仿宋_GB2312"/>
                <w:b/>
                <w:szCs w:val="24"/>
              </w:rPr>
              <w:t>单位名称</w:t>
            </w:r>
          </w:p>
        </w:tc>
        <w:tc>
          <w:tcPr>
            <w:tcW w:w="1134" w:type="dxa"/>
            <w:vMerge w:val="restart"/>
            <w:vAlign w:val="center"/>
          </w:tcPr>
          <w:p>
            <w:pPr>
              <w:spacing w:line="584" w:lineRule="exact"/>
              <w:jc w:val="center"/>
              <w:rPr>
                <w:rFonts w:ascii="Times New Roman" w:hAnsi="Times New Roman" w:eastAsia="仿宋_GB2312"/>
                <w:b/>
                <w:szCs w:val="24"/>
              </w:rPr>
            </w:pPr>
            <w:r>
              <w:rPr>
                <w:rFonts w:hint="eastAsia" w:ascii="Times New Roman" w:hAnsi="Times New Roman" w:eastAsia="仿宋_GB2312"/>
                <w:b/>
                <w:szCs w:val="24"/>
              </w:rPr>
              <w:t>单位性质</w:t>
            </w:r>
          </w:p>
        </w:tc>
        <w:tc>
          <w:tcPr>
            <w:tcW w:w="1276" w:type="dxa"/>
            <w:vMerge w:val="restart"/>
            <w:vAlign w:val="center"/>
          </w:tcPr>
          <w:p>
            <w:pPr>
              <w:spacing w:line="584" w:lineRule="exact"/>
              <w:jc w:val="center"/>
              <w:rPr>
                <w:rFonts w:ascii="Times New Roman" w:hAnsi="Times New Roman" w:eastAsia="仿宋_GB2312"/>
                <w:b/>
                <w:szCs w:val="24"/>
              </w:rPr>
            </w:pPr>
            <w:r>
              <w:rPr>
                <w:rFonts w:hint="eastAsia" w:ascii="Times New Roman" w:hAnsi="Times New Roman" w:eastAsia="仿宋_GB2312"/>
                <w:b/>
                <w:szCs w:val="24"/>
              </w:rPr>
              <w:t>单位规格</w:t>
            </w:r>
          </w:p>
        </w:tc>
        <w:tc>
          <w:tcPr>
            <w:tcW w:w="2902" w:type="dxa"/>
            <w:vMerge w:val="restart"/>
            <w:vAlign w:val="center"/>
          </w:tcPr>
          <w:p>
            <w:pPr>
              <w:spacing w:line="584" w:lineRule="exact"/>
              <w:jc w:val="center"/>
              <w:rPr>
                <w:rFonts w:ascii="Times New Roman" w:hAnsi="Times New Roman" w:eastAsia="仿宋_GB2312"/>
                <w:b/>
                <w:szCs w:val="24"/>
              </w:rPr>
            </w:pPr>
            <w:r>
              <w:rPr>
                <w:rFonts w:hint="eastAsia" w:ascii="Times New Roman" w:hAnsi="Times New Roman" w:eastAsia="仿宋_GB2312"/>
                <w:b/>
                <w:szCs w:val="24"/>
              </w:rP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4" w:hRule="atLeast"/>
          <w:tblHeader/>
          <w:jc w:val="center"/>
        </w:trPr>
        <w:tc>
          <w:tcPr>
            <w:tcW w:w="4443" w:type="dxa"/>
            <w:vMerge w:val="continue"/>
            <w:vAlign w:val="center"/>
          </w:tcPr>
          <w:p>
            <w:pPr>
              <w:spacing w:line="584" w:lineRule="exact"/>
              <w:jc w:val="left"/>
              <w:outlineLvl w:val="0"/>
              <w:rPr>
                <w:rFonts w:ascii="Times New Roman" w:hAnsi="Times New Roman" w:eastAsia="仿宋_GB2312"/>
                <w:szCs w:val="24"/>
              </w:rPr>
            </w:pPr>
          </w:p>
        </w:tc>
        <w:tc>
          <w:tcPr>
            <w:tcW w:w="1134" w:type="dxa"/>
            <w:vMerge w:val="continue"/>
            <w:vAlign w:val="center"/>
          </w:tcPr>
          <w:p>
            <w:pPr>
              <w:spacing w:line="584" w:lineRule="exact"/>
              <w:jc w:val="left"/>
              <w:outlineLvl w:val="0"/>
              <w:rPr>
                <w:rFonts w:ascii="Times New Roman" w:hAnsi="Times New Roman" w:eastAsia="仿宋_GB2312"/>
                <w:szCs w:val="24"/>
              </w:rPr>
            </w:pPr>
          </w:p>
        </w:tc>
        <w:tc>
          <w:tcPr>
            <w:tcW w:w="1276" w:type="dxa"/>
            <w:vMerge w:val="continue"/>
            <w:vAlign w:val="center"/>
          </w:tcPr>
          <w:p>
            <w:pPr>
              <w:spacing w:line="584" w:lineRule="exact"/>
              <w:jc w:val="left"/>
              <w:outlineLvl w:val="0"/>
              <w:rPr>
                <w:rFonts w:ascii="Times New Roman" w:hAnsi="Times New Roman" w:eastAsia="仿宋_GB2312"/>
                <w:szCs w:val="24"/>
              </w:rPr>
            </w:pPr>
          </w:p>
        </w:tc>
        <w:tc>
          <w:tcPr>
            <w:tcW w:w="2902" w:type="dxa"/>
            <w:vMerge w:val="continue"/>
            <w:vAlign w:val="center"/>
          </w:tcPr>
          <w:p>
            <w:pPr>
              <w:spacing w:line="584" w:lineRule="exact"/>
              <w:jc w:val="left"/>
              <w:outlineLvl w:val="0"/>
              <w:rPr>
                <w:rFonts w:ascii="Times New Roman" w:hAnsi="Times New Roman" w:eastAsia="仿宋_GB2312"/>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4443" w:type="dxa"/>
            <w:vAlign w:val="center"/>
          </w:tcPr>
          <w:p>
            <w:pPr>
              <w:pStyle w:val="10"/>
              <w:widowControl/>
              <w:spacing w:before="0" w:beforeAutospacing="0" w:after="0" w:afterAutospacing="0" w:line="405" w:lineRule="atLeast"/>
              <w:jc w:val="center"/>
              <w:rPr>
                <w:rFonts w:ascii="Times New Roman" w:hAnsi="Times New Roman" w:eastAsia="仿宋_GB2312"/>
                <w:b/>
              </w:rPr>
            </w:pPr>
            <w:r>
              <w:rPr>
                <w:rFonts w:ascii="仿宋_GB2312" w:hAnsi="Arial" w:eastAsia="仿宋_GB2312" w:cs="Arial"/>
                <w:color w:val="333333"/>
                <w:szCs w:val="24"/>
                <w:shd w:val="clear" w:color="auto" w:fill="FFFFFF"/>
              </w:rPr>
              <w:t>20</w:t>
            </w:r>
            <w:r>
              <w:rPr>
                <w:rFonts w:hint="eastAsia" w:ascii="仿宋_GB2312" w:hAnsi="Arial" w:eastAsia="仿宋_GB2312" w:cs="Arial"/>
                <w:color w:val="333333"/>
                <w:szCs w:val="24"/>
                <w:shd w:val="clear" w:color="auto" w:fill="FFFFFF"/>
                <w:lang w:val="en-US" w:eastAsia="zh-CN"/>
              </w:rPr>
              <w:t>6</w:t>
            </w:r>
            <w:r>
              <w:rPr>
                <w:rFonts w:hint="eastAsia" w:ascii="仿宋_GB2312" w:hAnsi="Arial" w:eastAsia="仿宋_GB2312" w:cs="Arial"/>
                <w:color w:val="333333"/>
                <w:szCs w:val="24"/>
                <w:shd w:val="clear" w:color="auto" w:fill="FFFFFF"/>
              </w:rPr>
              <w:t>文安县</w:t>
            </w:r>
            <w:r>
              <w:rPr>
                <w:rFonts w:hint="eastAsia" w:ascii="仿宋_GB2312" w:hAnsi="Arial" w:eastAsia="仿宋_GB2312" w:cs="Arial"/>
                <w:color w:val="333333"/>
                <w:szCs w:val="24"/>
                <w:shd w:val="clear" w:color="auto" w:fill="FFFFFF"/>
                <w:lang w:eastAsia="zh-CN"/>
              </w:rPr>
              <w:t>大围河乡</w:t>
            </w:r>
            <w:r>
              <w:rPr>
                <w:rFonts w:hint="eastAsia" w:ascii="仿宋_GB2312" w:hAnsi="Arial" w:eastAsia="仿宋_GB2312" w:cs="Arial"/>
                <w:color w:val="333333"/>
                <w:szCs w:val="24"/>
                <w:shd w:val="clear" w:color="auto" w:fill="FFFFFF"/>
              </w:rPr>
              <w:t>人民政府</w:t>
            </w:r>
          </w:p>
        </w:tc>
        <w:tc>
          <w:tcPr>
            <w:tcW w:w="1134" w:type="dxa"/>
            <w:vAlign w:val="center"/>
          </w:tcPr>
          <w:p>
            <w:pPr>
              <w:pStyle w:val="10"/>
              <w:widowControl/>
              <w:spacing w:before="0" w:beforeAutospacing="0" w:after="0" w:afterAutospacing="0" w:line="405" w:lineRule="atLeast"/>
              <w:jc w:val="center"/>
              <w:rPr>
                <w:rFonts w:ascii="Times New Roman" w:hAnsi="Times New Roman" w:eastAsia="仿宋_GB2312"/>
                <w:b/>
              </w:rPr>
            </w:pPr>
            <w:r>
              <w:rPr>
                <w:rFonts w:hint="eastAsia" w:ascii="仿宋_GB2312" w:hAnsi="Arial" w:eastAsia="仿宋_GB2312" w:cs="Arial"/>
                <w:color w:val="333333"/>
                <w:szCs w:val="24"/>
                <w:shd w:val="clear" w:color="auto" w:fill="FFFFFF"/>
              </w:rPr>
              <w:t>行政</w:t>
            </w:r>
          </w:p>
        </w:tc>
        <w:tc>
          <w:tcPr>
            <w:tcW w:w="1276" w:type="dxa"/>
            <w:vAlign w:val="center"/>
          </w:tcPr>
          <w:p>
            <w:pPr>
              <w:pStyle w:val="10"/>
              <w:widowControl/>
              <w:spacing w:before="0" w:beforeAutospacing="0" w:after="0" w:afterAutospacing="0" w:line="405" w:lineRule="atLeast"/>
              <w:jc w:val="center"/>
              <w:rPr>
                <w:rFonts w:ascii="Times New Roman" w:hAnsi="Times New Roman" w:eastAsia="仿宋_GB2312"/>
                <w:b/>
              </w:rPr>
            </w:pPr>
            <w:r>
              <w:rPr>
                <w:rFonts w:hint="eastAsia" w:ascii="仿宋_GB2312" w:hAnsi="Arial" w:eastAsia="仿宋_GB2312" w:cs="Arial"/>
                <w:color w:val="333333"/>
                <w:szCs w:val="24"/>
                <w:shd w:val="clear" w:color="auto" w:fill="FFFFFF"/>
              </w:rPr>
              <w:t>正科级别</w:t>
            </w:r>
          </w:p>
        </w:tc>
        <w:tc>
          <w:tcPr>
            <w:tcW w:w="2902" w:type="dxa"/>
            <w:vAlign w:val="center"/>
          </w:tcPr>
          <w:p>
            <w:pPr>
              <w:pStyle w:val="10"/>
              <w:widowControl/>
              <w:spacing w:before="0" w:beforeAutospacing="0" w:after="0" w:afterAutospacing="0" w:line="405" w:lineRule="atLeast"/>
              <w:jc w:val="center"/>
              <w:rPr>
                <w:rFonts w:ascii="Times New Roman" w:hAnsi="Times New Roman" w:eastAsia="仿宋_GB2312"/>
                <w:b/>
              </w:rPr>
            </w:pPr>
            <w:r>
              <w:rPr>
                <w:rFonts w:hint="eastAsia" w:ascii="仿宋_GB2312" w:hAnsi="Arial" w:eastAsia="仿宋_GB2312" w:cs="Arial"/>
                <w:color w:val="333333"/>
                <w:sz w:val="21"/>
                <w:szCs w:val="21"/>
                <w:shd w:val="clear" w:color="auto" w:fill="FFFFFF"/>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4443" w:type="dxa"/>
            <w:vAlign w:val="center"/>
          </w:tcPr>
          <w:p>
            <w:pPr>
              <w:spacing w:line="584" w:lineRule="exact"/>
              <w:jc w:val="left"/>
              <w:rPr>
                <w:rFonts w:ascii="Times New Roman" w:hAnsi="Times New Roman" w:eastAsia="仿宋_GB2312"/>
              </w:rPr>
            </w:pPr>
          </w:p>
        </w:tc>
        <w:tc>
          <w:tcPr>
            <w:tcW w:w="1134" w:type="dxa"/>
            <w:vAlign w:val="center"/>
          </w:tcPr>
          <w:p>
            <w:pPr>
              <w:spacing w:line="584" w:lineRule="exact"/>
              <w:jc w:val="center"/>
              <w:rPr>
                <w:rFonts w:ascii="Times New Roman" w:hAnsi="Times New Roman" w:eastAsia="仿宋_GB2312"/>
              </w:rPr>
            </w:pPr>
          </w:p>
        </w:tc>
        <w:tc>
          <w:tcPr>
            <w:tcW w:w="1276" w:type="dxa"/>
            <w:vAlign w:val="center"/>
          </w:tcPr>
          <w:p>
            <w:pPr>
              <w:spacing w:line="584" w:lineRule="exact"/>
              <w:jc w:val="center"/>
              <w:rPr>
                <w:rFonts w:ascii="Times New Roman" w:hAnsi="Times New Roman" w:eastAsia="仿宋_GB2312"/>
              </w:rPr>
            </w:pPr>
          </w:p>
        </w:tc>
        <w:tc>
          <w:tcPr>
            <w:tcW w:w="2902" w:type="dxa"/>
            <w:vAlign w:val="center"/>
          </w:tcPr>
          <w:p>
            <w:pPr>
              <w:spacing w:line="584" w:lineRule="exact"/>
              <w:jc w:val="center"/>
              <w:rPr>
                <w:rFonts w:ascii="Times New Roman" w:hAnsi="Times New Roman" w:eastAsia="仿宋_GB231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4443" w:type="dxa"/>
            <w:vAlign w:val="center"/>
          </w:tcPr>
          <w:p>
            <w:pPr>
              <w:spacing w:line="584" w:lineRule="exact"/>
              <w:jc w:val="left"/>
              <w:rPr>
                <w:rFonts w:ascii="Times New Roman" w:hAnsi="Times New Roman" w:eastAsia="仿宋_GB2312"/>
              </w:rPr>
            </w:pPr>
          </w:p>
        </w:tc>
        <w:tc>
          <w:tcPr>
            <w:tcW w:w="1134" w:type="dxa"/>
            <w:vAlign w:val="center"/>
          </w:tcPr>
          <w:p>
            <w:pPr>
              <w:spacing w:line="584" w:lineRule="exact"/>
              <w:jc w:val="center"/>
              <w:rPr>
                <w:rFonts w:ascii="Times New Roman" w:hAnsi="Times New Roman" w:eastAsia="仿宋_GB2312"/>
              </w:rPr>
            </w:pPr>
          </w:p>
        </w:tc>
        <w:tc>
          <w:tcPr>
            <w:tcW w:w="1276" w:type="dxa"/>
            <w:vAlign w:val="center"/>
          </w:tcPr>
          <w:p>
            <w:pPr>
              <w:spacing w:line="584" w:lineRule="exact"/>
              <w:jc w:val="center"/>
              <w:rPr>
                <w:rFonts w:ascii="Times New Roman" w:hAnsi="Times New Roman" w:eastAsia="仿宋_GB2312"/>
              </w:rPr>
            </w:pPr>
          </w:p>
        </w:tc>
        <w:tc>
          <w:tcPr>
            <w:tcW w:w="2902" w:type="dxa"/>
            <w:vAlign w:val="center"/>
          </w:tcPr>
          <w:p>
            <w:pPr>
              <w:spacing w:line="584" w:lineRule="exact"/>
              <w:jc w:val="center"/>
              <w:rPr>
                <w:rFonts w:ascii="Times New Roman" w:hAnsi="Times New Roman" w:eastAsia="仿宋_GB2312"/>
              </w:rPr>
            </w:pPr>
          </w:p>
        </w:tc>
      </w:tr>
    </w:tbl>
    <w:p>
      <w:pPr>
        <w:spacing w:line="584" w:lineRule="exact"/>
        <w:ind w:firstLine="640" w:firstLineChars="200"/>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二、部门预算安排的总体情况</w:t>
      </w:r>
    </w:p>
    <w:p>
      <w:pPr>
        <w:spacing w:line="584" w:lineRule="exact"/>
        <w:ind w:firstLine="640" w:firstLineChars="200"/>
        <w:rPr>
          <w:rFonts w:ascii="Times New Roman" w:hAnsi="Times New Roman" w:eastAsia="仿宋_GB2312"/>
          <w:sz w:val="32"/>
          <w:szCs w:val="32"/>
        </w:rPr>
      </w:pPr>
      <w:r>
        <w:rPr>
          <w:rFonts w:hint="eastAsia" w:ascii="仿宋_GB2312" w:hAnsi="Arial" w:eastAsia="仿宋_GB2312" w:cs="仿宋_GB2312"/>
          <w:color w:val="333333"/>
          <w:sz w:val="32"/>
          <w:szCs w:val="32"/>
          <w:shd w:val="clear" w:color="auto" w:fill="FFFFFF"/>
        </w:rPr>
        <w:t>按照预算管理有关规定，目前我县部门预算的编制实行综合预算制度，及全部收入和支出都反映在预算中</w:t>
      </w:r>
      <w:r>
        <w:rPr>
          <w:rFonts w:hint="eastAsia" w:ascii="Times New Roman" w:hAnsi="Times New Roman" w:eastAsia="仿宋_GB2312"/>
          <w:sz w:val="32"/>
          <w:szCs w:val="32"/>
        </w:rPr>
        <w:t>。</w:t>
      </w:r>
    </w:p>
    <w:p>
      <w:pPr>
        <w:spacing w:line="584" w:lineRule="exact"/>
        <w:ind w:firstLine="640"/>
        <w:rPr>
          <w:rFonts w:ascii="楷体_GB2312" w:hAnsi="Times New Roman" w:eastAsia="楷体_GB2312"/>
          <w:b/>
          <w:sz w:val="32"/>
          <w:szCs w:val="32"/>
        </w:rPr>
      </w:pPr>
      <w:r>
        <w:rPr>
          <w:rFonts w:ascii="楷体_GB2312" w:hAnsi="Times New Roman" w:eastAsia="楷体_GB2312"/>
          <w:b/>
          <w:sz w:val="32"/>
          <w:szCs w:val="32"/>
        </w:rPr>
        <w:t>1</w:t>
      </w:r>
      <w:r>
        <w:rPr>
          <w:rFonts w:hint="eastAsia" w:ascii="楷体_GB2312" w:hAnsi="Times New Roman" w:eastAsia="楷体_GB2312"/>
          <w:b/>
          <w:sz w:val="32"/>
          <w:szCs w:val="32"/>
        </w:rPr>
        <w:t>、收入说明</w:t>
      </w:r>
    </w:p>
    <w:p>
      <w:pPr>
        <w:widowControl/>
        <w:spacing w:line="560" w:lineRule="atLeast"/>
        <w:ind w:firstLine="640" w:firstLineChars="200"/>
        <w:jc w:val="left"/>
        <w:rPr>
          <w:rFonts w:ascii="仿宋_GB2312" w:hAnsi="仿宋" w:eastAsia="仿宋_GB2312" w:cs="宋体"/>
          <w:color w:val="484747"/>
          <w:kern w:val="0"/>
          <w:sz w:val="32"/>
          <w:szCs w:val="32"/>
        </w:rPr>
      </w:pPr>
      <w:r>
        <w:rPr>
          <w:rFonts w:ascii="仿宋_GB2312" w:hAnsi="仿宋" w:eastAsia="仿宋_GB2312" w:cs="宋体"/>
          <w:color w:val="484747"/>
          <w:kern w:val="0"/>
          <w:sz w:val="32"/>
          <w:szCs w:val="32"/>
        </w:rPr>
        <w:t>202</w:t>
      </w:r>
      <w:r>
        <w:rPr>
          <w:rFonts w:hint="eastAsia" w:ascii="仿宋_GB2312" w:hAnsi="仿宋" w:eastAsia="仿宋_GB2312" w:cs="宋体"/>
          <w:color w:val="484747"/>
          <w:kern w:val="0"/>
          <w:sz w:val="32"/>
          <w:szCs w:val="32"/>
          <w:lang w:val="en-US" w:eastAsia="zh-CN"/>
        </w:rPr>
        <w:t>3</w:t>
      </w:r>
      <w:r>
        <w:rPr>
          <w:rFonts w:hint="eastAsia" w:ascii="仿宋_GB2312" w:hAnsi="仿宋" w:eastAsia="仿宋_GB2312" w:cs="宋体"/>
          <w:color w:val="484747"/>
          <w:kern w:val="0"/>
          <w:sz w:val="32"/>
          <w:szCs w:val="32"/>
        </w:rPr>
        <w:t>年部门预算收入为</w:t>
      </w:r>
      <w:r>
        <w:rPr>
          <w:rFonts w:hint="eastAsia" w:ascii="仿宋_GB2312" w:hAnsi="仿宋" w:eastAsia="仿宋_GB2312" w:cs="宋体"/>
          <w:color w:val="484747"/>
          <w:kern w:val="0"/>
          <w:sz w:val="32"/>
          <w:szCs w:val="32"/>
          <w:lang w:val="en-US" w:eastAsia="zh-CN"/>
        </w:rPr>
        <w:t>1865.96</w:t>
      </w:r>
      <w:r>
        <w:rPr>
          <w:rFonts w:hint="eastAsia" w:ascii="仿宋_GB2312" w:hAnsi="仿宋" w:eastAsia="仿宋_GB2312" w:cs="宋体"/>
          <w:color w:val="484747"/>
          <w:kern w:val="0"/>
          <w:sz w:val="32"/>
          <w:szCs w:val="32"/>
        </w:rPr>
        <w:t>万元，其中一般公共预算拨款</w:t>
      </w:r>
      <w:r>
        <w:rPr>
          <w:rFonts w:ascii="仿宋_GB2312" w:hAnsi="仿宋" w:eastAsia="仿宋_GB2312" w:cs="宋体"/>
          <w:color w:val="484747"/>
          <w:kern w:val="0"/>
          <w:sz w:val="32"/>
          <w:szCs w:val="32"/>
        </w:rPr>
        <w:t xml:space="preserve"> </w:t>
      </w:r>
      <w:r>
        <w:rPr>
          <w:rFonts w:hint="eastAsia" w:ascii="仿宋_GB2312" w:hAnsi="仿宋" w:eastAsia="仿宋_GB2312" w:cs="宋体"/>
          <w:color w:val="484747"/>
          <w:kern w:val="0"/>
          <w:sz w:val="32"/>
          <w:szCs w:val="32"/>
          <w:lang w:val="en-US" w:eastAsia="zh-CN"/>
        </w:rPr>
        <w:t>1855.96</w:t>
      </w:r>
      <w:r>
        <w:rPr>
          <w:rFonts w:hint="eastAsia" w:ascii="仿宋_GB2312" w:hAnsi="仿宋" w:eastAsia="仿宋_GB2312" w:cs="宋体"/>
          <w:color w:val="484747"/>
          <w:kern w:val="0"/>
          <w:sz w:val="32"/>
          <w:szCs w:val="32"/>
        </w:rPr>
        <w:t>万元，政府性基金收入</w:t>
      </w:r>
      <w:r>
        <w:rPr>
          <w:rFonts w:hint="eastAsia" w:ascii="仿宋_GB2312" w:hAnsi="仿宋" w:eastAsia="仿宋_GB2312" w:cs="宋体"/>
          <w:color w:val="484747"/>
          <w:kern w:val="0"/>
          <w:sz w:val="32"/>
          <w:szCs w:val="32"/>
          <w:lang w:val="en-US" w:eastAsia="zh-CN"/>
        </w:rPr>
        <w:t>0</w:t>
      </w:r>
      <w:r>
        <w:rPr>
          <w:rFonts w:hint="eastAsia" w:ascii="仿宋_GB2312" w:hAnsi="仿宋" w:eastAsia="仿宋_GB2312" w:cs="宋体"/>
          <w:color w:val="484747"/>
          <w:kern w:val="0"/>
          <w:sz w:val="32"/>
          <w:szCs w:val="32"/>
        </w:rPr>
        <w:t>万元，</w:t>
      </w:r>
      <w:r>
        <w:rPr>
          <w:rFonts w:hint="eastAsia" w:ascii="仿宋_GB2312" w:hAnsi="仿宋" w:eastAsia="仿宋_GB2312" w:cs="宋体"/>
          <w:color w:val="484747"/>
          <w:kern w:val="0"/>
          <w:sz w:val="32"/>
          <w:szCs w:val="32"/>
          <w:lang w:val="en-US" w:eastAsia="zh-CN"/>
        </w:rPr>
        <w:t>上年结转结余收入10万元，</w:t>
      </w:r>
      <w:r>
        <w:rPr>
          <w:rFonts w:hint="eastAsia" w:ascii="Times New Roman" w:hAnsi="Times New Roman" w:eastAsia="仿宋_GB2312"/>
          <w:sz w:val="32"/>
          <w:szCs w:val="32"/>
        </w:rPr>
        <w:t>财政专户核拨收入</w:t>
      </w:r>
      <w:r>
        <w:rPr>
          <w:rFonts w:ascii="Times New Roman" w:hAnsi="Times New Roman" w:eastAsia="仿宋_GB2312"/>
          <w:sz w:val="32"/>
          <w:szCs w:val="32"/>
        </w:rPr>
        <w:t>0</w:t>
      </w:r>
      <w:r>
        <w:rPr>
          <w:rFonts w:hint="eastAsia" w:ascii="Times New Roman" w:hAnsi="Times New Roman" w:eastAsia="仿宋_GB2312"/>
          <w:sz w:val="32"/>
          <w:szCs w:val="32"/>
        </w:rPr>
        <w:t>万元，其他来源收入</w:t>
      </w:r>
      <w:r>
        <w:rPr>
          <w:rFonts w:ascii="Times New Roman" w:hAnsi="Times New Roman" w:eastAsia="仿宋_GB2312"/>
          <w:sz w:val="32"/>
          <w:szCs w:val="32"/>
        </w:rPr>
        <w:t>0</w:t>
      </w:r>
      <w:r>
        <w:rPr>
          <w:rFonts w:hint="eastAsia" w:ascii="Times New Roman" w:hAnsi="Times New Roman" w:eastAsia="仿宋_GB2312"/>
          <w:sz w:val="32"/>
          <w:szCs w:val="32"/>
        </w:rPr>
        <w:t>万元</w:t>
      </w:r>
      <w:r>
        <w:rPr>
          <w:rFonts w:hint="eastAsia" w:ascii="仿宋_GB2312" w:hAnsi="仿宋" w:eastAsia="仿宋_GB2312" w:cs="宋体"/>
          <w:color w:val="484747"/>
          <w:kern w:val="0"/>
          <w:sz w:val="32"/>
          <w:szCs w:val="32"/>
        </w:rPr>
        <w:t>。</w:t>
      </w:r>
    </w:p>
    <w:p>
      <w:pPr>
        <w:spacing w:line="584" w:lineRule="exact"/>
        <w:ind w:firstLine="640"/>
        <w:rPr>
          <w:rFonts w:ascii="楷体_GB2312" w:hAnsi="Times New Roman" w:eastAsia="楷体_GB2312"/>
          <w:b/>
          <w:sz w:val="32"/>
          <w:szCs w:val="32"/>
        </w:rPr>
      </w:pPr>
      <w:r>
        <w:rPr>
          <w:rFonts w:ascii="楷体_GB2312" w:hAnsi="Times New Roman" w:eastAsia="楷体_GB2312"/>
          <w:b/>
          <w:sz w:val="32"/>
          <w:szCs w:val="32"/>
        </w:rPr>
        <w:t>2</w:t>
      </w:r>
      <w:r>
        <w:rPr>
          <w:rFonts w:hint="eastAsia" w:ascii="楷体_GB2312" w:hAnsi="Times New Roman" w:eastAsia="楷体_GB2312"/>
          <w:b/>
          <w:sz w:val="32"/>
          <w:szCs w:val="32"/>
        </w:rPr>
        <w:t>、支出说明</w:t>
      </w:r>
    </w:p>
    <w:p>
      <w:pPr>
        <w:spacing w:line="584" w:lineRule="exact"/>
        <w:ind w:firstLine="640"/>
        <w:rPr>
          <w:rFonts w:ascii="仿宋_GB2312" w:hAnsi="仿宋" w:eastAsia="仿宋_GB2312" w:cs="宋体"/>
          <w:color w:val="484747"/>
          <w:kern w:val="0"/>
          <w:sz w:val="32"/>
          <w:szCs w:val="32"/>
        </w:rPr>
      </w:pPr>
      <w:r>
        <w:rPr>
          <w:rFonts w:hint="eastAsia" w:ascii="仿宋_GB2312" w:eastAsia="仿宋_GB2312"/>
          <w:color w:val="000000"/>
          <w:sz w:val="32"/>
          <w:szCs w:val="32"/>
        </w:rPr>
        <w:t>收支预算总表支出栏、基本支出表、项目支出表按经济分类和支出功能分类科目编制，反映廊坊市文安县</w:t>
      </w:r>
      <w:r>
        <w:rPr>
          <w:rFonts w:hint="eastAsia" w:ascii="仿宋_GB2312" w:eastAsia="仿宋_GB2312"/>
          <w:color w:val="000000"/>
          <w:sz w:val="32"/>
          <w:szCs w:val="32"/>
          <w:lang w:eastAsia="zh-CN"/>
        </w:rPr>
        <w:t>大围河乡</w:t>
      </w:r>
      <w:r>
        <w:rPr>
          <w:rFonts w:hint="eastAsia" w:ascii="仿宋_GB2312" w:eastAsia="仿宋_GB2312"/>
          <w:color w:val="000000"/>
          <w:sz w:val="32"/>
          <w:szCs w:val="32"/>
        </w:rPr>
        <w:t>人民政府</w:t>
      </w:r>
      <w:r>
        <w:rPr>
          <w:rFonts w:ascii="仿宋_GB2312" w:eastAsia="仿宋_GB2312"/>
          <w:color w:val="000000"/>
          <w:sz w:val="32"/>
          <w:szCs w:val="32"/>
        </w:rPr>
        <w:t>20</w:t>
      </w:r>
      <w:r>
        <w:rPr>
          <w:rFonts w:hint="eastAsia" w:ascii="仿宋_GB2312" w:eastAsia="仿宋_GB2312"/>
          <w:color w:val="000000"/>
          <w:sz w:val="32"/>
          <w:szCs w:val="32"/>
          <w:lang w:val="en-US" w:eastAsia="zh-CN"/>
        </w:rPr>
        <w:t>23</w:t>
      </w:r>
      <w:r>
        <w:rPr>
          <w:rFonts w:hint="eastAsia" w:ascii="仿宋_GB2312" w:eastAsia="仿宋_GB2312"/>
          <w:color w:val="000000"/>
          <w:sz w:val="32"/>
          <w:szCs w:val="32"/>
        </w:rPr>
        <w:t>年度部门预算中支出预算的总体情况。</w:t>
      </w:r>
      <w:r>
        <w:rPr>
          <w:rFonts w:ascii="仿宋_GB2312" w:hAnsi="仿宋" w:eastAsia="仿宋_GB2312" w:cs="宋体"/>
          <w:color w:val="484747"/>
          <w:kern w:val="0"/>
          <w:sz w:val="32"/>
          <w:szCs w:val="32"/>
        </w:rPr>
        <w:t>202</w:t>
      </w:r>
      <w:r>
        <w:rPr>
          <w:rFonts w:hint="eastAsia" w:ascii="仿宋_GB2312" w:hAnsi="仿宋" w:eastAsia="仿宋_GB2312" w:cs="宋体"/>
          <w:color w:val="484747"/>
          <w:kern w:val="0"/>
          <w:sz w:val="32"/>
          <w:szCs w:val="32"/>
          <w:lang w:val="en-US" w:eastAsia="zh-CN"/>
        </w:rPr>
        <w:t>3</w:t>
      </w:r>
      <w:r>
        <w:rPr>
          <w:rFonts w:hint="eastAsia" w:ascii="仿宋_GB2312" w:hAnsi="仿宋" w:eastAsia="仿宋_GB2312" w:cs="宋体"/>
          <w:color w:val="484747"/>
          <w:kern w:val="0"/>
          <w:sz w:val="32"/>
          <w:szCs w:val="32"/>
        </w:rPr>
        <w:t>年支出预算为</w:t>
      </w:r>
      <w:r>
        <w:rPr>
          <w:rFonts w:ascii="仿宋_GB2312" w:hAnsi="仿宋" w:eastAsia="仿宋_GB2312" w:cs="宋体"/>
          <w:color w:val="484747"/>
          <w:kern w:val="0"/>
          <w:sz w:val="32"/>
          <w:szCs w:val="32"/>
        </w:rPr>
        <w:t xml:space="preserve"> </w:t>
      </w:r>
      <w:r>
        <w:rPr>
          <w:rFonts w:hint="eastAsia" w:ascii="仿宋_GB2312" w:hAnsi="仿宋" w:eastAsia="仿宋_GB2312" w:cs="宋体"/>
          <w:color w:val="484747"/>
          <w:kern w:val="0"/>
          <w:sz w:val="32"/>
          <w:szCs w:val="32"/>
          <w:lang w:val="en-US" w:eastAsia="zh-CN"/>
        </w:rPr>
        <w:t>1865.96</w:t>
      </w:r>
      <w:r>
        <w:rPr>
          <w:rFonts w:hint="eastAsia" w:ascii="仿宋_GB2312" w:hAnsi="仿宋" w:eastAsia="仿宋_GB2312" w:cs="宋体"/>
          <w:color w:val="484747"/>
          <w:kern w:val="0"/>
          <w:sz w:val="32"/>
          <w:szCs w:val="32"/>
        </w:rPr>
        <w:t>万元，其中基本支出</w:t>
      </w:r>
      <w:r>
        <w:rPr>
          <w:rFonts w:hint="eastAsia" w:ascii="仿宋_GB2312" w:hAnsi="仿宋" w:eastAsia="仿宋_GB2312" w:cs="宋体"/>
          <w:color w:val="484747"/>
          <w:kern w:val="0"/>
          <w:sz w:val="32"/>
          <w:szCs w:val="32"/>
          <w:lang w:val="en-US" w:eastAsia="zh-CN"/>
        </w:rPr>
        <w:t>1655.96</w:t>
      </w:r>
      <w:r>
        <w:rPr>
          <w:rFonts w:hint="eastAsia" w:ascii="仿宋_GB2312" w:hAnsi="仿宋" w:eastAsia="仿宋_GB2312" w:cs="宋体"/>
          <w:color w:val="484747"/>
          <w:kern w:val="0"/>
          <w:sz w:val="32"/>
          <w:szCs w:val="32"/>
        </w:rPr>
        <w:t>万元包括人员经费</w:t>
      </w:r>
      <w:r>
        <w:rPr>
          <w:rFonts w:hint="eastAsia" w:ascii="仿宋_GB2312" w:hAnsi="仿宋" w:eastAsia="仿宋_GB2312" w:cs="宋体"/>
          <w:color w:val="484747"/>
          <w:kern w:val="0"/>
          <w:sz w:val="32"/>
          <w:szCs w:val="32"/>
          <w:lang w:val="en-US" w:eastAsia="zh-CN"/>
        </w:rPr>
        <w:t>1528.93</w:t>
      </w:r>
      <w:r>
        <w:rPr>
          <w:rFonts w:hint="eastAsia" w:ascii="仿宋_GB2312" w:hAnsi="仿宋" w:eastAsia="仿宋_GB2312" w:cs="宋体"/>
          <w:color w:val="484747"/>
          <w:kern w:val="0"/>
          <w:sz w:val="32"/>
          <w:szCs w:val="32"/>
        </w:rPr>
        <w:t>万元和日常公用经费</w:t>
      </w:r>
      <w:r>
        <w:rPr>
          <w:rFonts w:hint="eastAsia" w:ascii="仿宋_GB2312" w:hAnsi="仿宋" w:eastAsia="仿宋_GB2312" w:cs="宋体"/>
          <w:color w:val="484747"/>
          <w:kern w:val="0"/>
          <w:sz w:val="32"/>
          <w:szCs w:val="32"/>
          <w:lang w:val="en-US" w:eastAsia="zh-CN"/>
        </w:rPr>
        <w:t>127.03</w:t>
      </w:r>
      <w:r>
        <w:rPr>
          <w:rFonts w:hint="eastAsia" w:ascii="仿宋_GB2312" w:hAnsi="仿宋" w:eastAsia="仿宋_GB2312" w:cs="宋体"/>
          <w:color w:val="484747"/>
          <w:kern w:val="0"/>
          <w:sz w:val="32"/>
          <w:szCs w:val="32"/>
        </w:rPr>
        <w:t>万元</w:t>
      </w:r>
      <w:r>
        <w:rPr>
          <w:rFonts w:ascii="仿宋_GB2312" w:hAnsi="仿宋" w:eastAsia="仿宋_GB2312" w:cs="宋体"/>
          <w:color w:val="484747"/>
          <w:kern w:val="0"/>
          <w:sz w:val="32"/>
          <w:szCs w:val="32"/>
        </w:rPr>
        <w:t>;</w:t>
      </w:r>
      <w:r>
        <w:rPr>
          <w:rFonts w:hint="eastAsia" w:ascii="仿宋_GB2312" w:hAnsi="仿宋" w:eastAsia="仿宋_GB2312" w:cs="宋体"/>
          <w:color w:val="484747"/>
          <w:kern w:val="0"/>
          <w:sz w:val="32"/>
          <w:szCs w:val="32"/>
        </w:rPr>
        <w:t>项目支出</w:t>
      </w:r>
      <w:r>
        <w:rPr>
          <w:rFonts w:hint="eastAsia" w:ascii="仿宋_GB2312" w:hAnsi="仿宋" w:eastAsia="仿宋_GB2312" w:cs="宋体"/>
          <w:color w:val="484747"/>
          <w:kern w:val="0"/>
          <w:sz w:val="32"/>
          <w:szCs w:val="32"/>
          <w:lang w:val="en-US" w:eastAsia="zh-CN"/>
        </w:rPr>
        <w:t>210</w:t>
      </w:r>
      <w:r>
        <w:rPr>
          <w:rFonts w:hint="eastAsia" w:ascii="仿宋_GB2312" w:hAnsi="仿宋" w:eastAsia="仿宋_GB2312" w:cs="宋体"/>
          <w:color w:val="484747"/>
          <w:kern w:val="0"/>
          <w:sz w:val="32"/>
          <w:szCs w:val="32"/>
        </w:rPr>
        <w:t>万元，主要为幼儿园经费项目，</w:t>
      </w:r>
      <w:r>
        <w:rPr>
          <w:rFonts w:hint="eastAsia" w:ascii="仿宋_GB2312" w:hAnsi="仿宋" w:eastAsia="仿宋_GB2312" w:cs="宋体"/>
          <w:color w:val="484747"/>
          <w:kern w:val="0"/>
          <w:sz w:val="32"/>
          <w:szCs w:val="32"/>
          <w:lang w:val="en-US" w:eastAsia="zh-CN"/>
        </w:rPr>
        <w:t>革命老区</w:t>
      </w:r>
      <w:r>
        <w:rPr>
          <w:rFonts w:hint="eastAsia" w:ascii="仿宋_GB2312" w:hAnsi="仿宋" w:eastAsia="仿宋_GB2312" w:cs="宋体"/>
          <w:color w:val="484747"/>
          <w:kern w:val="0"/>
          <w:sz w:val="32"/>
          <w:szCs w:val="32"/>
        </w:rPr>
        <w:t>项目</w:t>
      </w:r>
      <w:r>
        <w:rPr>
          <w:rFonts w:hint="eastAsia" w:ascii="仿宋_GB2312" w:hAnsi="仿宋" w:eastAsia="仿宋_GB2312" w:cs="宋体"/>
          <w:color w:val="484747"/>
          <w:kern w:val="0"/>
          <w:sz w:val="32"/>
          <w:szCs w:val="32"/>
          <w:lang w:eastAsia="zh-CN"/>
        </w:rPr>
        <w:t>、</w:t>
      </w:r>
      <w:r>
        <w:rPr>
          <w:rFonts w:hint="eastAsia" w:ascii="仿宋_GB2312" w:hAnsi="仿宋" w:eastAsia="仿宋_GB2312" w:cs="宋体"/>
          <w:color w:val="484747"/>
          <w:kern w:val="0"/>
          <w:sz w:val="32"/>
          <w:szCs w:val="32"/>
          <w:lang w:val="en-US" w:eastAsia="zh-CN"/>
        </w:rPr>
        <w:t>一事一议项目</w:t>
      </w:r>
      <w:r>
        <w:rPr>
          <w:rFonts w:hint="eastAsia" w:ascii="仿宋_GB2312" w:hAnsi="仿宋" w:eastAsia="仿宋_GB2312" w:cs="宋体"/>
          <w:color w:val="484747"/>
          <w:kern w:val="0"/>
          <w:sz w:val="32"/>
          <w:szCs w:val="32"/>
        </w:rPr>
        <w:t>等。</w:t>
      </w:r>
    </w:p>
    <w:p>
      <w:pPr>
        <w:spacing w:line="584" w:lineRule="exact"/>
        <w:ind w:firstLine="640"/>
        <w:rPr>
          <w:rFonts w:ascii="楷体_GB2312" w:hAnsi="Times New Roman" w:eastAsia="楷体_GB2312"/>
          <w:b/>
          <w:sz w:val="32"/>
          <w:szCs w:val="32"/>
        </w:rPr>
      </w:pPr>
      <w:r>
        <w:rPr>
          <w:rFonts w:ascii="楷体_GB2312" w:hAnsi="Times New Roman" w:eastAsia="楷体_GB2312"/>
          <w:b/>
          <w:sz w:val="32"/>
          <w:szCs w:val="32"/>
        </w:rPr>
        <w:t>3</w:t>
      </w:r>
      <w:r>
        <w:rPr>
          <w:rFonts w:hint="eastAsia" w:ascii="楷体_GB2312" w:hAnsi="Times New Roman" w:eastAsia="楷体_GB2312"/>
          <w:b/>
          <w:sz w:val="32"/>
          <w:szCs w:val="32"/>
        </w:rPr>
        <w:t>、比上年增减情况</w:t>
      </w:r>
    </w:p>
    <w:p>
      <w:pPr>
        <w:spacing w:line="584"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年预算收支安排</w:t>
      </w:r>
      <w:r>
        <w:rPr>
          <w:rFonts w:hint="eastAsia" w:ascii="仿宋_GB2312" w:hAnsi="仿宋_GB2312" w:eastAsia="仿宋_GB2312" w:cs="仿宋_GB2312"/>
          <w:sz w:val="32"/>
          <w:szCs w:val="32"/>
          <w:lang w:val="en-US" w:eastAsia="zh-CN"/>
        </w:rPr>
        <w:t>1865.96</w:t>
      </w:r>
      <w:r>
        <w:rPr>
          <w:rFonts w:hint="eastAsia" w:ascii="仿宋_GB2312" w:hAnsi="仿宋_GB2312" w:eastAsia="仿宋_GB2312" w:cs="仿宋_GB2312"/>
          <w:sz w:val="32"/>
          <w:szCs w:val="32"/>
        </w:rPr>
        <w:t>万元，较202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年预算</w:t>
      </w:r>
      <w:r>
        <w:rPr>
          <w:rFonts w:hint="eastAsia" w:ascii="仿宋_GB2312" w:hAnsi="仿宋_GB2312" w:eastAsia="仿宋_GB2312" w:cs="仿宋_GB2312"/>
          <w:sz w:val="32"/>
          <w:szCs w:val="32"/>
          <w:lang w:val="en-US" w:eastAsia="zh-CN"/>
        </w:rPr>
        <w:t>降低665.69</w:t>
      </w:r>
      <w:r>
        <w:rPr>
          <w:rFonts w:hint="eastAsia" w:ascii="仿宋_GB2312" w:hAnsi="仿宋_GB2312" w:eastAsia="仿宋_GB2312" w:cs="仿宋_GB2312"/>
          <w:sz w:val="32"/>
          <w:szCs w:val="32"/>
        </w:rPr>
        <w:t>万元，其中：基本支出</w:t>
      </w:r>
      <w:r>
        <w:rPr>
          <w:rFonts w:hint="eastAsia" w:ascii="仿宋_GB2312" w:hAnsi="仿宋_GB2312" w:eastAsia="仿宋_GB2312" w:cs="仿宋_GB2312"/>
          <w:sz w:val="32"/>
          <w:szCs w:val="32"/>
          <w:lang w:val="en-US" w:eastAsia="zh-CN"/>
        </w:rPr>
        <w:t>减少72.96</w:t>
      </w:r>
      <w:r>
        <w:rPr>
          <w:rFonts w:hint="eastAsia" w:ascii="仿宋_GB2312" w:hAnsi="仿宋_GB2312" w:eastAsia="仿宋_GB2312" w:cs="仿宋_GB2312"/>
          <w:sz w:val="32"/>
          <w:szCs w:val="32"/>
        </w:rPr>
        <w:t>万元，主要为人员</w:t>
      </w:r>
      <w:r>
        <w:rPr>
          <w:rFonts w:hint="eastAsia" w:ascii="仿宋_GB2312" w:hAnsi="仿宋_GB2312" w:eastAsia="仿宋_GB2312" w:cs="仿宋_GB2312"/>
          <w:sz w:val="32"/>
          <w:szCs w:val="32"/>
          <w:lang w:val="en-US" w:eastAsia="zh-CN"/>
        </w:rPr>
        <w:t>调出减少</w:t>
      </w:r>
      <w:r>
        <w:rPr>
          <w:rFonts w:hint="eastAsia" w:ascii="仿宋_GB2312" w:hAnsi="仿宋_GB2312" w:eastAsia="仿宋_GB2312" w:cs="仿宋_GB2312"/>
          <w:sz w:val="32"/>
          <w:szCs w:val="32"/>
        </w:rPr>
        <w:t>支出；项目支出</w:t>
      </w:r>
      <w:r>
        <w:rPr>
          <w:rFonts w:hint="eastAsia" w:ascii="仿宋_GB2312" w:hAnsi="仿宋_GB2312" w:eastAsia="仿宋_GB2312" w:cs="仿宋_GB2312"/>
          <w:sz w:val="32"/>
          <w:szCs w:val="32"/>
          <w:lang w:val="en-US" w:eastAsia="zh-CN"/>
        </w:rPr>
        <w:t>减少592.72</w:t>
      </w:r>
      <w:r>
        <w:rPr>
          <w:rFonts w:hint="eastAsia" w:ascii="仿宋_GB2312" w:hAnsi="仿宋_GB2312" w:eastAsia="仿宋_GB2312" w:cs="仿宋_GB2312"/>
          <w:sz w:val="32"/>
          <w:szCs w:val="32"/>
        </w:rPr>
        <w:t>万元，主要为项目</w:t>
      </w:r>
      <w:r>
        <w:rPr>
          <w:rFonts w:hint="eastAsia" w:ascii="仿宋_GB2312" w:hAnsi="仿宋_GB2312" w:eastAsia="仿宋_GB2312" w:cs="仿宋_GB2312"/>
          <w:sz w:val="32"/>
          <w:szCs w:val="32"/>
          <w:lang w:val="en-US" w:eastAsia="zh-CN"/>
        </w:rPr>
        <w:t>减少</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减少</w:t>
      </w:r>
      <w:r>
        <w:rPr>
          <w:rFonts w:hint="eastAsia" w:ascii="仿宋_GB2312" w:hAnsi="仿宋_GB2312" w:eastAsia="仿宋_GB2312" w:cs="仿宋_GB2312"/>
          <w:sz w:val="32"/>
          <w:szCs w:val="32"/>
        </w:rPr>
        <w:t>项目支出。</w:t>
      </w:r>
    </w:p>
    <w:p>
      <w:pPr>
        <w:autoSpaceDE w:val="0"/>
        <w:autoSpaceDN w:val="0"/>
        <w:adjustRightInd w:val="0"/>
        <w:spacing w:line="584" w:lineRule="exact"/>
        <w:ind w:firstLine="800" w:firstLineChars="250"/>
        <w:jc w:val="left"/>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三、机关运行经费安排情况</w:t>
      </w:r>
    </w:p>
    <w:p>
      <w:pPr>
        <w:autoSpaceDE w:val="0"/>
        <w:autoSpaceDN w:val="0"/>
        <w:adjustRightInd w:val="0"/>
        <w:spacing w:line="584" w:lineRule="exact"/>
        <w:ind w:left="198"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年，我部门机关运行经费共计安排</w:t>
      </w:r>
      <w:r>
        <w:rPr>
          <w:rFonts w:hint="eastAsia" w:ascii="仿宋_GB2312" w:hAnsi="仿宋_GB2312" w:eastAsia="仿宋_GB2312" w:cs="仿宋_GB2312"/>
          <w:sz w:val="32"/>
          <w:szCs w:val="32"/>
          <w:lang w:val="en-US" w:eastAsia="zh-CN"/>
        </w:rPr>
        <w:t>127.03</w:t>
      </w:r>
      <w:r>
        <w:rPr>
          <w:rFonts w:hint="eastAsia" w:ascii="仿宋_GB2312" w:hAnsi="仿宋_GB2312" w:eastAsia="仿宋_GB2312" w:cs="仿宋_GB2312"/>
          <w:sz w:val="32"/>
          <w:szCs w:val="32"/>
        </w:rPr>
        <w:t>万元，主要用于</w:t>
      </w:r>
      <w:r>
        <w:rPr>
          <w:rFonts w:hint="eastAsia" w:ascii="仿宋_GB2312" w:hAnsi="仿宋_GB2312" w:eastAsia="仿宋_GB2312" w:cs="仿宋_GB2312"/>
          <w:color w:val="333333"/>
          <w:sz w:val="32"/>
          <w:szCs w:val="32"/>
          <w:shd w:val="clear" w:color="auto" w:fill="FFFFFF"/>
        </w:rPr>
        <w:t>我单位</w:t>
      </w:r>
      <w:r>
        <w:rPr>
          <w:rFonts w:hint="eastAsia" w:ascii="仿宋_GB2312" w:hAnsi="仿宋_GB2312" w:eastAsia="仿宋_GB2312" w:cs="仿宋_GB2312"/>
          <w:sz w:val="32"/>
          <w:szCs w:val="32"/>
        </w:rPr>
        <w:t>办公区的日常维修、办公用房水电费、办公用房取暖费、</w:t>
      </w:r>
      <w:r>
        <w:rPr>
          <w:rFonts w:hint="eastAsia" w:ascii="仿宋_GB2312" w:hAnsi="仿宋_GB2312" w:eastAsia="仿宋_GB2312" w:cs="仿宋_GB2312"/>
          <w:sz w:val="32"/>
          <w:szCs w:val="32"/>
          <w:lang w:eastAsia="zh-CN"/>
        </w:rPr>
        <w:t>公务用车维护</w:t>
      </w:r>
      <w:r>
        <w:rPr>
          <w:rFonts w:hint="eastAsia" w:ascii="仿宋_GB2312" w:hAnsi="仿宋_GB2312" w:eastAsia="仿宋_GB2312" w:cs="仿宋_GB2312"/>
          <w:sz w:val="32"/>
          <w:szCs w:val="32"/>
        </w:rPr>
        <w:t>等日常运行支出。</w:t>
      </w:r>
    </w:p>
    <w:p>
      <w:pPr>
        <w:autoSpaceDE w:val="0"/>
        <w:autoSpaceDN w:val="0"/>
        <w:adjustRightInd w:val="0"/>
        <w:spacing w:line="584" w:lineRule="exact"/>
        <w:ind w:firstLine="784" w:firstLineChars="245"/>
        <w:jc w:val="left"/>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四、财政拨款“三公”经费预算情况及增减变化原因</w:t>
      </w:r>
    </w:p>
    <w:p>
      <w:pPr>
        <w:autoSpaceDE w:val="0"/>
        <w:autoSpaceDN w:val="0"/>
        <w:adjustRightInd w:val="0"/>
        <w:spacing w:line="584" w:lineRule="exact"/>
        <w:ind w:left="197" w:leftChars="94"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年，我</w:t>
      </w:r>
      <w:r>
        <w:rPr>
          <w:rFonts w:hint="eastAsia" w:ascii="仿宋_GB2312" w:hAnsi="仿宋_GB2312" w:eastAsia="仿宋_GB2312" w:cs="仿宋_GB2312"/>
          <w:sz w:val="32"/>
          <w:szCs w:val="32"/>
          <w:lang w:eastAsia="zh-CN"/>
        </w:rPr>
        <w:t>乡</w:t>
      </w:r>
      <w:r>
        <w:rPr>
          <w:rFonts w:hint="eastAsia" w:ascii="仿宋_GB2312" w:hAnsi="仿宋_GB2312" w:eastAsia="仿宋_GB2312" w:cs="仿宋_GB2312"/>
          <w:sz w:val="32"/>
          <w:szCs w:val="32"/>
        </w:rPr>
        <w:t>财政拨款“三公”经费预算安排</w:t>
      </w:r>
      <w:r>
        <w:rPr>
          <w:rFonts w:hint="eastAsia" w:ascii="仿宋_GB2312" w:hAnsi="仿宋_GB2312" w:eastAsia="仿宋_GB2312" w:cs="仿宋_GB2312"/>
          <w:sz w:val="32"/>
          <w:szCs w:val="32"/>
          <w:lang w:val="en-US" w:eastAsia="zh-CN"/>
        </w:rPr>
        <w:t>4.8</w:t>
      </w:r>
      <w:r>
        <w:rPr>
          <w:rFonts w:hint="eastAsia" w:ascii="仿宋_GB2312" w:hAnsi="仿宋_GB2312" w:eastAsia="仿宋_GB2312" w:cs="仿宋_GB2312"/>
          <w:sz w:val="32"/>
          <w:szCs w:val="32"/>
        </w:rPr>
        <w:t>万元。其中，因公出国（境）费0万元；公务用车购置及运维费</w:t>
      </w:r>
      <w:r>
        <w:rPr>
          <w:rFonts w:hint="eastAsia" w:ascii="仿宋_GB2312" w:hAnsi="仿宋_GB2312" w:eastAsia="仿宋_GB2312" w:cs="仿宋_GB2312"/>
          <w:sz w:val="32"/>
          <w:szCs w:val="32"/>
          <w:lang w:val="en-US" w:eastAsia="zh-CN"/>
        </w:rPr>
        <w:t>4.8</w:t>
      </w:r>
      <w:r>
        <w:rPr>
          <w:rFonts w:hint="eastAsia" w:ascii="仿宋_GB2312" w:hAnsi="仿宋_GB2312" w:eastAsia="仿宋_GB2312" w:cs="仿宋_GB2312"/>
          <w:sz w:val="32"/>
          <w:szCs w:val="32"/>
        </w:rPr>
        <w:t>万元（其中：公务用车购置费为0万元，公务用车运维费</w:t>
      </w:r>
      <w:r>
        <w:rPr>
          <w:rFonts w:hint="eastAsia" w:ascii="仿宋_GB2312" w:hAnsi="仿宋_GB2312" w:eastAsia="仿宋_GB2312" w:cs="仿宋_GB2312"/>
          <w:sz w:val="32"/>
          <w:szCs w:val="32"/>
          <w:lang w:val="en-US" w:eastAsia="zh-CN"/>
        </w:rPr>
        <w:t>4.8</w:t>
      </w:r>
      <w:r>
        <w:rPr>
          <w:rFonts w:hint="eastAsia" w:ascii="仿宋_GB2312" w:hAnsi="仿宋_GB2312" w:eastAsia="仿宋_GB2312" w:cs="仿宋_GB2312"/>
          <w:sz w:val="32"/>
          <w:szCs w:val="32"/>
        </w:rPr>
        <w:t>万元)；公务接待费0万元。与202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年相比减少</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其中，公务用车购置及运维费减少0万元（其中：公务用车购置费减少0万元，公务用车运维费减少0万元)，主要原因是我单位切实落实勤俭节约各项规定，压减公车运行经费支出；公务接待费0万元，主要原因是我单位切实落实勤俭节约各项规定，严格控制公务</w:t>
      </w:r>
      <w:r>
        <w:rPr>
          <w:rFonts w:hint="eastAsia" w:ascii="仿宋_GB2312" w:hAnsi="仿宋_GB2312" w:eastAsia="仿宋_GB2312" w:cs="仿宋_GB2312"/>
          <w:sz w:val="32"/>
          <w:szCs w:val="32"/>
          <w:lang w:eastAsia="zh-CN"/>
        </w:rPr>
        <w:t>招待费</w:t>
      </w:r>
      <w:r>
        <w:rPr>
          <w:rFonts w:hint="eastAsia" w:ascii="仿宋_GB2312" w:hAnsi="仿宋_GB2312" w:eastAsia="仿宋_GB2312" w:cs="仿宋_GB2312"/>
          <w:sz w:val="32"/>
          <w:szCs w:val="32"/>
        </w:rPr>
        <w:t>支出。</w:t>
      </w:r>
    </w:p>
    <w:p>
      <w:pPr>
        <w:numPr>
          <w:ilvl w:val="0"/>
          <w:numId w:val="1"/>
        </w:numPr>
        <w:spacing w:line="584" w:lineRule="exact"/>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绩效预算信息</w:t>
      </w:r>
    </w:p>
    <w:p>
      <w:pPr>
        <w:spacing w:line="584" w:lineRule="exact"/>
        <w:ind w:firstLine="800" w:firstLineChars="250"/>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第一部分 部门整体绩效目标</w:t>
      </w:r>
    </w:p>
    <w:p>
      <w:pPr>
        <w:spacing w:line="584" w:lineRule="exact"/>
        <w:ind w:firstLine="643" w:firstLineChars="200"/>
      </w:pPr>
      <w:r>
        <w:rPr>
          <w:rFonts w:hint="eastAsia" w:ascii="楷体_GB2312" w:hAnsi="黑体" w:eastAsia="楷体_GB2312"/>
          <w:b/>
          <w:sz w:val="32"/>
          <w:szCs w:val="32"/>
        </w:rPr>
        <w:t>（一）总体绩效目标</w:t>
      </w:r>
    </w:p>
    <w:p>
      <w:pPr>
        <w:pStyle w:val="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全面加强党员队伍建设,认真学习体会上级会议精神,坚决贯彻执行党的方针政策,争取建立起一批基层战斗堡垒,推动各项事业稳步前进。（二）坚持将污染防治作为最大的民生工程来抓，既要金山银山，更要绿水青山。以更大的力度抓好环境整治工作。加大资金投入在水域垃圾清理、国道环境治理和农村环境治理等方面上。（三）加强村内公路、水利基础设施建设，提高教学质量大力发展农村文化事业,繁荣农村文化,丰富农民文化体育活动。（四）解决信访及遗留问题要用科学的头脑和法律的手段，要特别重视群众的来信来访问题，要进行正确的教育和引导，充分发挥民政、综合治理、民事调解、公安司法在信访工作中的重要作用。努力使越级访案件为零。</w:t>
      </w:r>
    </w:p>
    <w:p>
      <w:pPr>
        <w:spacing w:before="10" w:after="10"/>
        <w:ind w:firstLine="560"/>
        <w:outlineLvl w:val="1"/>
        <w:rPr>
          <w:rFonts w:hint="eastAsia" w:ascii="楷体_GB2312" w:hAnsi="楷体_GB2312" w:eastAsia="楷体_GB2312" w:cs="楷体_GB2312"/>
          <w:b/>
          <w:bCs/>
          <w:sz w:val="32"/>
          <w:szCs w:val="32"/>
        </w:rPr>
      </w:pPr>
      <w:bookmarkStart w:id="0" w:name="_Toc_2_2_0000000002"/>
      <w:r>
        <w:rPr>
          <w:rFonts w:hint="eastAsia" w:ascii="楷体_GB2312" w:hAnsi="楷体_GB2312" w:eastAsia="楷体_GB2312" w:cs="楷体_GB2312"/>
          <w:b/>
          <w:bCs/>
          <w:color w:val="000000"/>
          <w:sz w:val="32"/>
          <w:szCs w:val="32"/>
        </w:rPr>
        <w:t>二、分项绩效目标</w:t>
      </w:r>
      <w:bookmarkEnd w:id="0"/>
    </w:p>
    <w:p>
      <w:pPr>
        <w:pStyle w:val="2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（一）提高法规治理，集中反映民意</w:t>
      </w:r>
    </w:p>
    <w:p>
      <w:pPr>
        <w:pStyle w:val="2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绩效目标：提高法规质量，保障其有效实施,促进依法履职。</w:t>
      </w:r>
    </w:p>
    <w:p>
      <w:pPr>
        <w:pStyle w:val="2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绩效指标：培训计划完成率，执法检查和集中视察完成率≥90%</w:t>
      </w:r>
    </w:p>
    <w:p>
      <w:pPr>
        <w:pStyle w:val="2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（二）严控会议次数、降低会议经费</w:t>
      </w:r>
    </w:p>
    <w:p>
      <w:pPr>
        <w:pStyle w:val="2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绩效目标：严控会议计划，严控大型活动数量，降低会议和活动费用开支。</w:t>
      </w:r>
    </w:p>
    <w:p>
      <w:pPr>
        <w:pStyle w:val="2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绩效指标：大型会议控制率≥90%。</w:t>
      </w:r>
    </w:p>
    <w:p>
      <w:pPr>
        <w:pStyle w:val="2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（三）提高保障能力</w:t>
      </w:r>
    </w:p>
    <w:p>
      <w:pPr>
        <w:pStyle w:val="2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绩效目标：农村五保供养标准、集中供养能力逐步提高。</w:t>
      </w:r>
    </w:p>
    <w:p>
      <w:pPr>
        <w:pStyle w:val="2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绩效指标：五保供养保障率=100%。</w:t>
      </w:r>
    </w:p>
    <w:p>
      <w:pPr>
        <w:pStyle w:val="2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（四）提高人民法律意识</w:t>
      </w:r>
    </w:p>
    <w:p>
      <w:pPr>
        <w:pStyle w:val="2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绩效目标：提高全区人民法律意识，促进全区民主与法制建设。</w:t>
      </w:r>
    </w:p>
    <w:p>
      <w:pPr>
        <w:pStyle w:val="2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绩效指标：组织主题宣传活动场次，网络舆情处置率=100%。</w:t>
      </w:r>
    </w:p>
    <w:p>
      <w:pPr>
        <w:pStyle w:val="2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（五）提高粮食种子优化比例</w:t>
      </w:r>
    </w:p>
    <w:p>
      <w:pPr>
        <w:pStyle w:val="2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绩效目标：小麦、玉米、水稻、棉花良种补贴全覆盖。</w:t>
      </w:r>
    </w:p>
    <w:p>
      <w:pPr>
        <w:pStyle w:val="2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绩效指标：良种补贴覆盖率=100%。</w:t>
      </w:r>
    </w:p>
    <w:p>
      <w:pPr>
        <w:pStyle w:val="2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（六）优生优育</w:t>
      </w:r>
    </w:p>
    <w:p>
      <w:pPr>
        <w:pStyle w:val="2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绩效目标：改善我乡农村计划怀孕夫妇健康状况，有效避孕节育技术服务.</w:t>
      </w:r>
    </w:p>
    <w:p>
      <w:pPr>
        <w:pStyle w:val="2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绩效指标：免费孕前优生健康检查目标人群覆盖率，免费计划生育基本服务项目覆盖率。</w:t>
      </w:r>
    </w:p>
    <w:p>
      <w:pPr>
        <w:pStyle w:val="2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（七）指导加强村街建设</w:t>
      </w:r>
    </w:p>
    <w:p>
      <w:pPr>
        <w:pStyle w:val="2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绩效目标：基础设施建设工作目标完成量，指导农村住房建设改善农村人届环境。</w:t>
      </w:r>
    </w:p>
    <w:p>
      <w:pPr>
        <w:pStyle w:val="2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绩效指标：基础设施利用率≥90%。</w:t>
      </w:r>
    </w:p>
    <w:p>
      <w:pPr>
        <w:pStyle w:val="2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（八）加强财务预决算管理</w:t>
      </w:r>
    </w:p>
    <w:p>
      <w:pPr>
        <w:pStyle w:val="2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绩效目标：编制财政预算；管理和监督乡镇财政收支。编制年终决算。</w:t>
      </w:r>
    </w:p>
    <w:p>
      <w:pPr>
        <w:pStyle w:val="2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绩效指标：预决算编制和执行，监督监管财政收支资金利用率≥90%。</w:t>
      </w:r>
    </w:p>
    <w:p>
      <w:pPr>
        <w:pStyle w:val="2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（九）保持信访稳定</w:t>
      </w:r>
    </w:p>
    <w:p>
      <w:pPr>
        <w:pStyle w:val="2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绩效目标：调解相关劳动人事纠纷。</w:t>
      </w:r>
    </w:p>
    <w:p>
      <w:pPr>
        <w:pStyle w:val="2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绩效指标：劳动纠纷调解率≥90%。</w:t>
      </w:r>
    </w:p>
    <w:p>
      <w:pPr>
        <w:pStyle w:val="2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（十）解决农村用水安全问题</w:t>
      </w:r>
    </w:p>
    <w:p>
      <w:pPr>
        <w:pStyle w:val="2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绩效目标：在全乡范围内通过实施农村饮水安全项目.</w:t>
      </w:r>
    </w:p>
    <w:p>
      <w:pPr>
        <w:pStyle w:val="2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绩效指标：保障农村供水安全率=100%</w:t>
      </w:r>
    </w:p>
    <w:p>
      <w:pPr>
        <w:pStyle w:val="2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（十一）加大环境治理力度</w:t>
      </w:r>
    </w:p>
    <w:p>
      <w:pPr>
        <w:pStyle w:val="2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绩效目标：指导城市市容环境治理、改善人居环境，大气污染治理。</w:t>
      </w:r>
    </w:p>
    <w:p>
      <w:pPr>
        <w:pStyle w:val="2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绩效指标：环境治理专项资金利用率≥90%。</w:t>
      </w:r>
    </w:p>
    <w:p>
      <w:pPr>
        <w:pStyle w:val="2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（十二）加强水域环境治理</w:t>
      </w:r>
    </w:p>
    <w:p>
      <w:pPr>
        <w:pStyle w:val="2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绩效目标：指导水域、坑塘环境治理，保证水域干净、整洁。</w:t>
      </w:r>
    </w:p>
    <w:p>
      <w:pPr>
        <w:pStyle w:val="2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绩效指标：水域环境治理专项资金利用率≥90%。</w:t>
      </w:r>
    </w:p>
    <w:p>
      <w:pPr>
        <w:spacing w:before="10" w:after="10"/>
        <w:ind w:firstLine="560"/>
        <w:outlineLvl w:val="1"/>
        <w:rPr>
          <w:rFonts w:hint="eastAsia" w:ascii="楷体_GB2312" w:hAnsi="楷体_GB2312" w:eastAsia="楷体_GB2312" w:cs="楷体_GB2312"/>
          <w:b/>
          <w:bCs/>
          <w:sz w:val="32"/>
          <w:szCs w:val="32"/>
        </w:rPr>
      </w:pPr>
      <w:bookmarkStart w:id="1" w:name="_Toc_2_2_0000000003"/>
      <w:r>
        <w:rPr>
          <w:rFonts w:hint="eastAsia" w:ascii="楷体_GB2312" w:hAnsi="楷体_GB2312" w:eastAsia="楷体_GB2312" w:cs="楷体_GB2312"/>
          <w:b/>
          <w:bCs/>
          <w:color w:val="000000"/>
          <w:sz w:val="32"/>
          <w:szCs w:val="32"/>
        </w:rPr>
        <w:t>三、工作保障措施</w:t>
      </w:r>
      <w:bookmarkEnd w:id="1"/>
    </w:p>
    <w:p>
      <w:pPr>
        <w:pStyle w:val="2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2023年，我乡将不断加快建设步伐，埋头苦干、强力攻坚，持续在“优化环境、产业转型、城镇建设、改善民生”上下功夫。为实现我乡年度发展规划目标，不断强化各项保障措施，力争全乡工作整体提升。</w:t>
      </w:r>
    </w:p>
    <w:p>
      <w:pPr>
        <w:pStyle w:val="2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（一）、完善制度建设，加强队伍学习，干部素质显著提升</w:t>
      </w:r>
    </w:p>
    <w:p>
      <w:pPr>
        <w:pStyle w:val="2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是健全学习制度。科学制定党委理论中心组河领导班子个人学习计划，确定学习任务、时间和要点。二是加强整治理论学习。坚持每月开展一次理论中心组学习会议。三是加强业务知识学习。采取集中培训。外出考察等学习方式，组织班子成员。机关干部。村“两委”干部有针对性对环保法。土地法。安全生产法以及社会管理、财务管理等各方面知识进行学习。</w:t>
      </w:r>
    </w:p>
    <w:p>
      <w:pPr>
        <w:pStyle w:val="2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（二）、坚强支出管理</w:t>
      </w:r>
    </w:p>
    <w:p>
      <w:pPr>
        <w:pStyle w:val="2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通过优化支出结构、编细编实预算。加快履行政府采购手续、尽快启动项目、及时支付资金、6月底前细化代编预算、按规定及时下达资金等多种措施，确保支出进度达标。</w:t>
      </w:r>
    </w:p>
    <w:p>
      <w:pPr>
        <w:pStyle w:val="2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（三）、加强绩效运行监控</w:t>
      </w:r>
    </w:p>
    <w:p>
      <w:pPr>
        <w:pStyle w:val="2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按要求开展绩效运行监控，发现问题及时采取措施，确保绩效目标如期保质实现。</w:t>
      </w:r>
    </w:p>
    <w:p>
      <w:pPr>
        <w:pStyle w:val="2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（四）、做好绩效自评</w:t>
      </w:r>
    </w:p>
    <w:p>
      <w:pPr>
        <w:pStyle w:val="2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按要求开展上年度部门预算绩效自评和重点评价工作，对评价中发现的问题及时整改，调整优化支出结构，提高财政资金使用效益。</w:t>
      </w:r>
    </w:p>
    <w:p>
      <w:pPr>
        <w:pStyle w:val="2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（五）、规范财务资产管理</w:t>
      </w:r>
    </w:p>
    <w:p>
      <w:pPr>
        <w:pStyle w:val="2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完善财务管理制度，严格审批程序，加强固定资产登记、使用和报废处置管理，做到支出合理，物尽其用。</w:t>
      </w:r>
    </w:p>
    <w:p>
      <w:pPr>
        <w:pStyle w:val="2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（六）、加强内部监督</w:t>
      </w:r>
    </w:p>
    <w:p>
      <w:pPr>
        <w:pStyle w:val="2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强内部监督制度建设，对绩效运行情况、重大支出决策、对外投资、资产处置及其他重要经济业务事项的决策和执行进行督导，对会计资料进行内部审计，并配合做好审计、财政监督等外部监督工作、确保财政资金安全有效。</w:t>
      </w:r>
    </w:p>
    <w:p>
      <w:pPr>
        <w:pStyle w:val="2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（七）、加强宣传培训调研</w:t>
      </w:r>
    </w:p>
    <w:p>
      <w:pPr>
        <w:pStyle w:val="2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加强人员培训，提高本部门职工业务素质；坚强调研，提出优化财政资金配置、提高资金使用效益的意见；加大宣传力度，强化预算绩效管理意识，促进预算绩效管理水平进一步提升。</w:t>
      </w:r>
    </w:p>
    <w:p>
      <w:pPr>
        <w:jc w:val="center"/>
        <w:rPr>
          <w:rFonts w:hint="eastAsia" w:ascii="仿宋_GB2312" w:hAnsi="仿宋_GB2312" w:eastAsia="仿宋_GB2312" w:cs="仿宋_GB2312"/>
          <w:sz w:val="32"/>
          <w:szCs w:val="32"/>
        </w:rPr>
        <w:sectPr>
          <w:pgSz w:w="11900" w:h="16840"/>
          <w:pgMar w:top="1984" w:right="1304" w:bottom="1134" w:left="1304" w:header="720" w:footer="720" w:gutter="0"/>
          <w:pgNumType w:start="1"/>
          <w:cols w:space="720" w:num="1"/>
        </w:sectPr>
      </w:pPr>
    </w:p>
    <w:p>
      <w:pPr>
        <w:numPr>
          <w:ilvl w:val="0"/>
          <w:numId w:val="2"/>
        </w:numPr>
        <w:spacing w:line="584" w:lineRule="exact"/>
        <w:ind w:firstLine="640" w:firstLineChars="200"/>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资金绩效目标</w:t>
      </w:r>
    </w:p>
    <w:p>
      <w:pPr>
        <w:jc w:val="center"/>
      </w:pPr>
    </w:p>
    <w:p>
      <w:pPr>
        <w:ind w:firstLine="560"/>
        <w:outlineLvl w:val="3"/>
      </w:pPr>
      <w:bookmarkStart w:id="2" w:name="_Toc_4_4_0000000004"/>
      <w:r>
        <w:rPr>
          <w:rFonts w:ascii="方正仿宋_GBK" w:hAnsi="方正仿宋_GBK" w:eastAsia="方正仿宋_GBK" w:cs="方正仿宋_GBK"/>
          <w:color w:val="000000"/>
          <w:sz w:val="28"/>
        </w:rPr>
        <w:t>1.大围河乡2022年农村公益事业财政奖补资金绩效目标表</w:t>
      </w:r>
      <w:bookmarkEnd w:id="2"/>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29"/>
            </w:pPr>
            <w:r>
              <w:t>206001文安县大围河乡人民政府党政综合办公室本级</w:t>
            </w:r>
          </w:p>
        </w:tc>
        <w:tc>
          <w:tcPr>
            <w:tcW w:w="1843" w:type="dxa"/>
            <w:tcBorders>
              <w:top w:val="single" w:color="FFFFFF" w:sz="6" w:space="0"/>
              <w:left w:val="single" w:color="FFFFFF" w:sz="6" w:space="0"/>
              <w:right w:val="single" w:color="FFFFFF" w:sz="6" w:space="0"/>
            </w:tcBorders>
            <w:vAlign w:val="center"/>
          </w:tcPr>
          <w:p>
            <w:pPr>
              <w:pStyle w:val="28"/>
            </w:pPr>
            <w:r>
              <w:t>单位：元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31"/>
            </w:pPr>
            <w:r>
              <w:t>项目编码</w:t>
            </w:r>
          </w:p>
        </w:tc>
        <w:tc>
          <w:tcPr>
            <w:tcW w:w="2608" w:type="dxa"/>
            <w:gridSpan w:val="2"/>
            <w:vAlign w:val="center"/>
          </w:tcPr>
          <w:p>
            <w:pPr>
              <w:pStyle w:val="30"/>
            </w:pPr>
            <w:r>
              <w:t>13102622P00237810498E</w:t>
            </w:r>
          </w:p>
        </w:tc>
        <w:tc>
          <w:tcPr>
            <w:tcW w:w="1587" w:type="dxa"/>
            <w:vAlign w:val="center"/>
          </w:tcPr>
          <w:p>
            <w:pPr>
              <w:pStyle w:val="31"/>
            </w:pPr>
            <w:r>
              <w:t>项目名称</w:t>
            </w:r>
          </w:p>
        </w:tc>
        <w:tc>
          <w:tcPr>
            <w:tcW w:w="4422" w:type="dxa"/>
            <w:gridSpan w:val="3"/>
            <w:vAlign w:val="center"/>
          </w:tcPr>
          <w:p>
            <w:pPr>
              <w:pStyle w:val="30"/>
            </w:pPr>
            <w:r>
              <w:t>大围河乡2022年农村公益事业财政奖补资金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31"/>
            </w:pPr>
            <w:r>
              <w:t>预算规模及资金用途</w:t>
            </w:r>
          </w:p>
        </w:tc>
        <w:tc>
          <w:tcPr>
            <w:tcW w:w="1276" w:type="dxa"/>
            <w:vAlign w:val="center"/>
          </w:tcPr>
          <w:p>
            <w:pPr>
              <w:pStyle w:val="31"/>
            </w:pPr>
            <w:r>
              <w:t>预算数</w:t>
            </w:r>
          </w:p>
        </w:tc>
        <w:tc>
          <w:tcPr>
            <w:tcW w:w="1332" w:type="dxa"/>
            <w:vAlign w:val="center"/>
          </w:tcPr>
          <w:p>
            <w:pPr>
              <w:pStyle w:val="30"/>
            </w:pPr>
            <w:r>
              <w:t>100000.00</w:t>
            </w:r>
          </w:p>
        </w:tc>
        <w:tc>
          <w:tcPr>
            <w:tcW w:w="1587" w:type="dxa"/>
            <w:vAlign w:val="center"/>
          </w:tcPr>
          <w:p>
            <w:pPr>
              <w:pStyle w:val="31"/>
            </w:pPr>
            <w:r>
              <w:t>其中：财政    资金</w:t>
            </w:r>
          </w:p>
        </w:tc>
        <w:tc>
          <w:tcPr>
            <w:tcW w:w="1304" w:type="dxa"/>
            <w:vAlign w:val="center"/>
          </w:tcPr>
          <w:p>
            <w:pPr>
              <w:pStyle w:val="30"/>
            </w:pPr>
            <w:r>
              <w:t>100000.00</w:t>
            </w:r>
          </w:p>
        </w:tc>
        <w:tc>
          <w:tcPr>
            <w:tcW w:w="1276" w:type="dxa"/>
            <w:vAlign w:val="center"/>
          </w:tcPr>
          <w:p>
            <w:pPr>
              <w:pStyle w:val="31"/>
            </w:pPr>
            <w:r>
              <w:t>其他资金</w:t>
            </w:r>
          </w:p>
        </w:tc>
        <w:tc>
          <w:tcPr>
            <w:tcW w:w="1843" w:type="dxa"/>
            <w:vAlign w:val="center"/>
          </w:tcPr>
          <w:p>
            <w:pPr>
              <w:pStyle w:val="30"/>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30"/>
            </w:pPr>
            <w:r>
              <w:t>用于2022年农村公益事业财政奖补项目建设。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31"/>
            </w:pPr>
            <w:r>
              <w:t>资金支出计划（%）</w:t>
            </w:r>
          </w:p>
        </w:tc>
        <w:tc>
          <w:tcPr>
            <w:tcW w:w="2608" w:type="dxa"/>
            <w:gridSpan w:val="2"/>
            <w:vAlign w:val="center"/>
          </w:tcPr>
          <w:p>
            <w:pPr>
              <w:pStyle w:val="31"/>
            </w:pPr>
            <w:r>
              <w:t>3月底</w:t>
            </w:r>
          </w:p>
        </w:tc>
        <w:tc>
          <w:tcPr>
            <w:tcW w:w="1587" w:type="dxa"/>
            <w:vAlign w:val="center"/>
          </w:tcPr>
          <w:p>
            <w:pPr>
              <w:pStyle w:val="31"/>
            </w:pPr>
            <w:r>
              <w:t>6月底</w:t>
            </w:r>
          </w:p>
        </w:tc>
        <w:tc>
          <w:tcPr>
            <w:tcW w:w="1304" w:type="dxa"/>
            <w:vAlign w:val="center"/>
          </w:tcPr>
          <w:p>
            <w:pPr>
              <w:pStyle w:val="31"/>
            </w:pPr>
            <w:r>
              <w:t>10月底</w:t>
            </w:r>
          </w:p>
        </w:tc>
        <w:tc>
          <w:tcPr>
            <w:tcW w:w="3118" w:type="dxa"/>
            <w:gridSpan w:val="2"/>
            <w:vAlign w:val="center"/>
          </w:tcPr>
          <w:p>
            <w:pPr>
              <w:pStyle w:val="31"/>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32"/>
            </w:pPr>
          </w:p>
        </w:tc>
        <w:tc>
          <w:tcPr>
            <w:tcW w:w="1587" w:type="dxa"/>
            <w:vAlign w:val="center"/>
          </w:tcPr>
          <w:p>
            <w:pPr>
              <w:pStyle w:val="32"/>
            </w:pPr>
          </w:p>
        </w:tc>
        <w:tc>
          <w:tcPr>
            <w:tcW w:w="1304" w:type="dxa"/>
            <w:vAlign w:val="center"/>
          </w:tcPr>
          <w:p>
            <w:pPr>
              <w:pStyle w:val="32"/>
            </w:pPr>
            <w:r>
              <w:t>100.00</w:t>
            </w:r>
          </w:p>
        </w:tc>
        <w:tc>
          <w:tcPr>
            <w:tcW w:w="3118" w:type="dxa"/>
            <w:gridSpan w:val="2"/>
            <w:vAlign w:val="center"/>
          </w:tcPr>
          <w:p>
            <w:pPr>
              <w:pStyle w:val="32"/>
            </w:pPr>
            <w:r>
              <w:t>100.00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31"/>
            </w:pPr>
            <w:r>
              <w:t>绩效目标</w:t>
            </w:r>
          </w:p>
        </w:tc>
        <w:tc>
          <w:tcPr>
            <w:tcW w:w="8617" w:type="dxa"/>
            <w:gridSpan w:val="6"/>
            <w:vAlign w:val="center"/>
          </w:tcPr>
          <w:p>
            <w:pPr>
              <w:pStyle w:val="30"/>
            </w:pPr>
            <w:r>
              <w:t>1.目标内容1提升村容村貌，改善村民生活环境。</w:t>
            </w:r>
          </w:p>
        </w:tc>
      </w:tr>
    </w:tbl>
    <w:p>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31"/>
            </w:pPr>
            <w:r>
              <w:t>一级指标</w:t>
            </w:r>
          </w:p>
        </w:tc>
        <w:tc>
          <w:tcPr>
            <w:tcW w:w="1276" w:type="dxa"/>
            <w:vAlign w:val="center"/>
          </w:tcPr>
          <w:p>
            <w:pPr>
              <w:pStyle w:val="31"/>
            </w:pPr>
            <w:r>
              <w:t>二级指标</w:t>
            </w:r>
          </w:p>
        </w:tc>
        <w:tc>
          <w:tcPr>
            <w:tcW w:w="1332" w:type="dxa"/>
            <w:vAlign w:val="center"/>
          </w:tcPr>
          <w:p>
            <w:pPr>
              <w:pStyle w:val="31"/>
            </w:pPr>
            <w:r>
              <w:t>三级指标</w:t>
            </w:r>
          </w:p>
        </w:tc>
        <w:tc>
          <w:tcPr>
            <w:tcW w:w="2891" w:type="dxa"/>
            <w:vAlign w:val="center"/>
          </w:tcPr>
          <w:p>
            <w:pPr>
              <w:pStyle w:val="31"/>
            </w:pPr>
            <w:r>
              <w:t>绩效指标描述</w:t>
            </w:r>
          </w:p>
        </w:tc>
        <w:tc>
          <w:tcPr>
            <w:tcW w:w="1276" w:type="dxa"/>
            <w:vAlign w:val="center"/>
          </w:tcPr>
          <w:p>
            <w:pPr>
              <w:pStyle w:val="31"/>
            </w:pPr>
            <w:r>
              <w:t>指标值</w:t>
            </w:r>
          </w:p>
        </w:tc>
        <w:tc>
          <w:tcPr>
            <w:tcW w:w="1843" w:type="dxa"/>
            <w:vAlign w:val="center"/>
          </w:tcPr>
          <w:p>
            <w:pPr>
              <w:pStyle w:val="31"/>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32"/>
            </w:pPr>
            <w:r>
              <w:t>产出指标</w:t>
            </w:r>
          </w:p>
        </w:tc>
        <w:tc>
          <w:tcPr>
            <w:tcW w:w="1276" w:type="dxa"/>
            <w:vAlign w:val="center"/>
          </w:tcPr>
          <w:p>
            <w:pPr>
              <w:pStyle w:val="30"/>
            </w:pPr>
            <w:r>
              <w:t>数量指标</w:t>
            </w:r>
          </w:p>
        </w:tc>
        <w:tc>
          <w:tcPr>
            <w:tcW w:w="1332" w:type="dxa"/>
            <w:vAlign w:val="center"/>
          </w:tcPr>
          <w:p>
            <w:pPr>
              <w:pStyle w:val="30"/>
            </w:pPr>
            <w:r>
              <w:t>建设数量</w:t>
            </w:r>
          </w:p>
        </w:tc>
        <w:tc>
          <w:tcPr>
            <w:tcW w:w="2891" w:type="dxa"/>
            <w:vAlign w:val="center"/>
          </w:tcPr>
          <w:p>
            <w:pPr>
              <w:pStyle w:val="30"/>
            </w:pPr>
            <w:r>
              <w:t>需要建设补助村庄数量</w:t>
            </w:r>
          </w:p>
        </w:tc>
        <w:tc>
          <w:tcPr>
            <w:tcW w:w="1276" w:type="dxa"/>
            <w:vAlign w:val="center"/>
          </w:tcPr>
          <w:p>
            <w:pPr>
              <w:pStyle w:val="30"/>
            </w:pPr>
            <w:r>
              <w:t>1个</w:t>
            </w:r>
          </w:p>
        </w:tc>
        <w:tc>
          <w:tcPr>
            <w:tcW w:w="1843" w:type="dxa"/>
            <w:vAlign w:val="center"/>
          </w:tcPr>
          <w:p>
            <w:pPr>
              <w:pStyle w:val="30"/>
            </w:pPr>
            <w:r>
              <w:t>冀财农【2022】85号文件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30"/>
            </w:pPr>
            <w:r>
              <w:t>质量指标</w:t>
            </w:r>
          </w:p>
        </w:tc>
        <w:tc>
          <w:tcPr>
            <w:tcW w:w="1332" w:type="dxa"/>
            <w:vAlign w:val="center"/>
          </w:tcPr>
          <w:p>
            <w:pPr>
              <w:pStyle w:val="30"/>
            </w:pPr>
            <w:r>
              <w:t>工程质量</w:t>
            </w:r>
          </w:p>
        </w:tc>
        <w:tc>
          <w:tcPr>
            <w:tcW w:w="2891" w:type="dxa"/>
            <w:vAlign w:val="center"/>
          </w:tcPr>
          <w:p>
            <w:pPr>
              <w:pStyle w:val="30"/>
            </w:pPr>
            <w:r>
              <w:t>农村建设项目按要求保质保量</w:t>
            </w:r>
          </w:p>
        </w:tc>
        <w:tc>
          <w:tcPr>
            <w:tcW w:w="1276" w:type="dxa"/>
            <w:vAlign w:val="center"/>
          </w:tcPr>
          <w:p>
            <w:pPr>
              <w:pStyle w:val="30"/>
            </w:pPr>
            <w:r>
              <w:t>≥95百分比</w:t>
            </w:r>
          </w:p>
        </w:tc>
        <w:tc>
          <w:tcPr>
            <w:tcW w:w="1843" w:type="dxa"/>
            <w:vAlign w:val="center"/>
          </w:tcPr>
          <w:p>
            <w:pPr>
              <w:pStyle w:val="30"/>
            </w:pPr>
            <w:r>
              <w:t>冀财农【2022】85号文件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30"/>
            </w:pPr>
            <w:r>
              <w:t>时效指标</w:t>
            </w:r>
          </w:p>
        </w:tc>
        <w:tc>
          <w:tcPr>
            <w:tcW w:w="1332" w:type="dxa"/>
            <w:vAlign w:val="center"/>
          </w:tcPr>
          <w:p>
            <w:pPr>
              <w:pStyle w:val="30"/>
            </w:pPr>
            <w:r>
              <w:t>工程完成时间</w:t>
            </w:r>
          </w:p>
        </w:tc>
        <w:tc>
          <w:tcPr>
            <w:tcW w:w="2891" w:type="dxa"/>
            <w:vAlign w:val="center"/>
          </w:tcPr>
          <w:p>
            <w:pPr>
              <w:pStyle w:val="30"/>
            </w:pPr>
            <w:r>
              <w:t>根据协议要求按时完成</w:t>
            </w:r>
          </w:p>
        </w:tc>
        <w:tc>
          <w:tcPr>
            <w:tcW w:w="1276" w:type="dxa"/>
            <w:vAlign w:val="center"/>
          </w:tcPr>
          <w:p>
            <w:pPr>
              <w:pStyle w:val="30"/>
            </w:pPr>
            <w:r>
              <w:t>≤100时间</w:t>
            </w:r>
          </w:p>
        </w:tc>
        <w:tc>
          <w:tcPr>
            <w:tcW w:w="1843" w:type="dxa"/>
            <w:vAlign w:val="center"/>
          </w:tcPr>
          <w:p>
            <w:pPr>
              <w:pStyle w:val="30"/>
            </w:pPr>
            <w:r>
              <w:t>冀财农【2022】85号文件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30"/>
            </w:pPr>
            <w:r>
              <w:t>成本指标</w:t>
            </w:r>
          </w:p>
        </w:tc>
        <w:tc>
          <w:tcPr>
            <w:tcW w:w="1332" w:type="dxa"/>
            <w:vAlign w:val="center"/>
          </w:tcPr>
          <w:p>
            <w:pPr>
              <w:pStyle w:val="30"/>
            </w:pPr>
            <w:r>
              <w:t>按合同价格</w:t>
            </w:r>
          </w:p>
        </w:tc>
        <w:tc>
          <w:tcPr>
            <w:tcW w:w="2891" w:type="dxa"/>
            <w:vAlign w:val="center"/>
          </w:tcPr>
          <w:p>
            <w:pPr>
              <w:pStyle w:val="30"/>
            </w:pPr>
            <w:r>
              <w:t>按照合同价格进行施工，不随市场价随意调整</w:t>
            </w:r>
          </w:p>
        </w:tc>
        <w:tc>
          <w:tcPr>
            <w:tcW w:w="1276" w:type="dxa"/>
            <w:vAlign w:val="center"/>
          </w:tcPr>
          <w:p>
            <w:pPr>
              <w:pStyle w:val="30"/>
            </w:pPr>
            <w:r>
              <w:t>≤100百分比</w:t>
            </w:r>
          </w:p>
        </w:tc>
        <w:tc>
          <w:tcPr>
            <w:tcW w:w="1843" w:type="dxa"/>
            <w:vAlign w:val="center"/>
          </w:tcPr>
          <w:p>
            <w:pPr>
              <w:pStyle w:val="30"/>
            </w:pPr>
            <w:r>
              <w:t>冀财农【2022】85号文件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32"/>
            </w:pPr>
            <w:r>
              <w:t>效益指标</w:t>
            </w:r>
          </w:p>
        </w:tc>
        <w:tc>
          <w:tcPr>
            <w:tcW w:w="1276" w:type="dxa"/>
            <w:vAlign w:val="center"/>
          </w:tcPr>
          <w:p>
            <w:pPr>
              <w:pStyle w:val="30"/>
            </w:pPr>
            <w:r>
              <w:t>经济效益指标</w:t>
            </w:r>
          </w:p>
        </w:tc>
        <w:tc>
          <w:tcPr>
            <w:tcW w:w="1332" w:type="dxa"/>
            <w:vAlign w:val="center"/>
          </w:tcPr>
          <w:p>
            <w:pPr>
              <w:pStyle w:val="30"/>
            </w:pPr>
            <w:r>
              <w:t>改善村庄面貌，提升村庄形象</w:t>
            </w:r>
          </w:p>
        </w:tc>
        <w:tc>
          <w:tcPr>
            <w:tcW w:w="2891" w:type="dxa"/>
            <w:vAlign w:val="center"/>
          </w:tcPr>
          <w:p>
            <w:pPr>
              <w:pStyle w:val="30"/>
            </w:pPr>
            <w:r>
              <w:t>毗邻雄安新区，吸引了更多投资者</w:t>
            </w:r>
          </w:p>
        </w:tc>
        <w:tc>
          <w:tcPr>
            <w:tcW w:w="1276" w:type="dxa"/>
            <w:vAlign w:val="center"/>
          </w:tcPr>
          <w:p>
            <w:pPr>
              <w:pStyle w:val="30"/>
            </w:pPr>
            <w:r>
              <w:t>≥95百分比</w:t>
            </w:r>
          </w:p>
        </w:tc>
        <w:tc>
          <w:tcPr>
            <w:tcW w:w="1843" w:type="dxa"/>
            <w:vAlign w:val="center"/>
          </w:tcPr>
          <w:p>
            <w:pPr>
              <w:pStyle w:val="30"/>
            </w:pPr>
            <w:r>
              <w:t>冀财农【2022】85号文件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30"/>
            </w:pPr>
            <w:r>
              <w:t>社会效益指标</w:t>
            </w:r>
          </w:p>
        </w:tc>
        <w:tc>
          <w:tcPr>
            <w:tcW w:w="1332" w:type="dxa"/>
            <w:vAlign w:val="center"/>
          </w:tcPr>
          <w:p>
            <w:pPr>
              <w:pStyle w:val="30"/>
            </w:pPr>
            <w:r>
              <w:t>改善环境问题，解决村民生活问题</w:t>
            </w:r>
          </w:p>
        </w:tc>
        <w:tc>
          <w:tcPr>
            <w:tcW w:w="2891" w:type="dxa"/>
            <w:vAlign w:val="center"/>
          </w:tcPr>
          <w:p>
            <w:pPr>
              <w:pStyle w:val="30"/>
            </w:pPr>
            <w:r>
              <w:t>整体环境得到有效改善，群众满意</w:t>
            </w:r>
          </w:p>
        </w:tc>
        <w:tc>
          <w:tcPr>
            <w:tcW w:w="1276" w:type="dxa"/>
            <w:vAlign w:val="center"/>
          </w:tcPr>
          <w:p>
            <w:pPr>
              <w:pStyle w:val="30"/>
            </w:pPr>
            <w:r>
              <w:t>≥95百分比</w:t>
            </w:r>
          </w:p>
        </w:tc>
        <w:tc>
          <w:tcPr>
            <w:tcW w:w="1843" w:type="dxa"/>
            <w:vAlign w:val="center"/>
          </w:tcPr>
          <w:p>
            <w:pPr>
              <w:pStyle w:val="30"/>
            </w:pPr>
            <w:r>
              <w:t>冀财农【2022】85号文件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30"/>
            </w:pPr>
            <w:r>
              <w:t>生态效益指标</w:t>
            </w:r>
          </w:p>
        </w:tc>
        <w:tc>
          <w:tcPr>
            <w:tcW w:w="1332" w:type="dxa"/>
            <w:vAlign w:val="center"/>
          </w:tcPr>
          <w:p>
            <w:pPr>
              <w:pStyle w:val="30"/>
            </w:pPr>
            <w:r>
              <w:t>解决了村民排污问题</w:t>
            </w:r>
          </w:p>
        </w:tc>
        <w:tc>
          <w:tcPr>
            <w:tcW w:w="2891" w:type="dxa"/>
            <w:vAlign w:val="center"/>
          </w:tcPr>
          <w:p>
            <w:pPr>
              <w:pStyle w:val="30"/>
            </w:pPr>
            <w:r>
              <w:t>通过改造，大大的提升了村庄环境</w:t>
            </w:r>
          </w:p>
        </w:tc>
        <w:tc>
          <w:tcPr>
            <w:tcW w:w="1276" w:type="dxa"/>
            <w:vAlign w:val="center"/>
          </w:tcPr>
          <w:p>
            <w:pPr>
              <w:pStyle w:val="30"/>
            </w:pPr>
            <w:r>
              <w:t>≥95百分比</w:t>
            </w:r>
          </w:p>
        </w:tc>
        <w:tc>
          <w:tcPr>
            <w:tcW w:w="1843" w:type="dxa"/>
            <w:vAlign w:val="center"/>
          </w:tcPr>
          <w:p>
            <w:pPr>
              <w:pStyle w:val="30"/>
            </w:pPr>
            <w:r>
              <w:t>冀财农【2022】85号文件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30"/>
            </w:pPr>
            <w:r>
              <w:t>可持续影响指标</w:t>
            </w:r>
          </w:p>
        </w:tc>
        <w:tc>
          <w:tcPr>
            <w:tcW w:w="1332" w:type="dxa"/>
            <w:vAlign w:val="center"/>
          </w:tcPr>
          <w:p>
            <w:pPr>
              <w:pStyle w:val="30"/>
            </w:pPr>
            <w:r>
              <w:t>施工后使用年限</w:t>
            </w:r>
          </w:p>
        </w:tc>
        <w:tc>
          <w:tcPr>
            <w:tcW w:w="2891" w:type="dxa"/>
            <w:vAlign w:val="center"/>
          </w:tcPr>
          <w:p>
            <w:pPr>
              <w:pStyle w:val="30"/>
            </w:pPr>
            <w:r>
              <w:t>施工后使用年限</w:t>
            </w:r>
          </w:p>
        </w:tc>
        <w:tc>
          <w:tcPr>
            <w:tcW w:w="1276" w:type="dxa"/>
            <w:vAlign w:val="center"/>
          </w:tcPr>
          <w:p>
            <w:pPr>
              <w:pStyle w:val="30"/>
            </w:pPr>
            <w:r>
              <w:t>≥20年</w:t>
            </w:r>
          </w:p>
        </w:tc>
        <w:tc>
          <w:tcPr>
            <w:tcW w:w="1843" w:type="dxa"/>
            <w:vAlign w:val="center"/>
          </w:tcPr>
          <w:p>
            <w:pPr>
              <w:pStyle w:val="30"/>
            </w:pPr>
            <w:r>
              <w:t>冀财农【2022】85号文件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32"/>
            </w:pPr>
            <w:r>
              <w:t>满意度指标</w:t>
            </w:r>
          </w:p>
        </w:tc>
        <w:tc>
          <w:tcPr>
            <w:tcW w:w="1276" w:type="dxa"/>
            <w:vAlign w:val="center"/>
          </w:tcPr>
          <w:p>
            <w:pPr>
              <w:pStyle w:val="30"/>
            </w:pPr>
            <w:r>
              <w:t>服务对象满意度指标</w:t>
            </w:r>
          </w:p>
        </w:tc>
        <w:tc>
          <w:tcPr>
            <w:tcW w:w="1332" w:type="dxa"/>
            <w:vAlign w:val="center"/>
          </w:tcPr>
          <w:p>
            <w:pPr>
              <w:pStyle w:val="30"/>
            </w:pPr>
            <w:r>
              <w:t>群众满意度</w:t>
            </w:r>
          </w:p>
        </w:tc>
        <w:tc>
          <w:tcPr>
            <w:tcW w:w="2891" w:type="dxa"/>
            <w:vAlign w:val="center"/>
          </w:tcPr>
          <w:p>
            <w:pPr>
              <w:pStyle w:val="30"/>
            </w:pPr>
            <w:r>
              <w:t>群众满意度</w:t>
            </w:r>
          </w:p>
        </w:tc>
        <w:tc>
          <w:tcPr>
            <w:tcW w:w="1276" w:type="dxa"/>
            <w:vAlign w:val="center"/>
          </w:tcPr>
          <w:p>
            <w:pPr>
              <w:pStyle w:val="30"/>
            </w:pPr>
            <w:r>
              <w:t>≥95百分比</w:t>
            </w:r>
          </w:p>
        </w:tc>
        <w:tc>
          <w:tcPr>
            <w:tcW w:w="1843" w:type="dxa"/>
            <w:vAlign w:val="center"/>
          </w:tcPr>
          <w:p>
            <w:pPr>
              <w:pStyle w:val="30"/>
            </w:pPr>
            <w:r>
              <w:t>冀财农【2022】85号文件</w:t>
            </w:r>
          </w:p>
        </w:tc>
      </w:tr>
    </w:tbl>
    <w:p>
      <w:pPr>
        <w:sectPr>
          <w:pgSz w:w="11900" w:h="16840"/>
          <w:pgMar w:top="1984" w:right="1304" w:bottom="1134" w:left="1304" w:header="720" w:footer="720" w:gutter="0"/>
          <w:cols w:space="720" w:num="1"/>
        </w:sectPr>
      </w:pPr>
    </w:p>
    <w:p>
      <w:pPr>
        <w:jc w:val="center"/>
      </w:pPr>
    </w:p>
    <w:p>
      <w:pPr>
        <w:ind w:firstLine="560"/>
        <w:outlineLvl w:val="3"/>
      </w:pPr>
      <w:bookmarkStart w:id="3" w:name="_Toc_4_4_0000000005"/>
      <w:r>
        <w:rPr>
          <w:rFonts w:ascii="方正仿宋_GBK" w:hAnsi="方正仿宋_GBK" w:eastAsia="方正仿宋_GBK" w:cs="方正仿宋_GBK"/>
          <w:color w:val="000000"/>
          <w:sz w:val="28"/>
        </w:rPr>
        <w:t>2.大围河乡2023年度革命老区大围河村村街道路硬化工程绩效目标表</w:t>
      </w:r>
      <w:bookmarkEnd w:id="3"/>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29"/>
            </w:pPr>
            <w:r>
              <w:t>206001文安县大围河乡人民政府党政综合办公室本级</w:t>
            </w:r>
          </w:p>
        </w:tc>
        <w:tc>
          <w:tcPr>
            <w:tcW w:w="1843" w:type="dxa"/>
            <w:tcBorders>
              <w:top w:val="single" w:color="FFFFFF" w:sz="6" w:space="0"/>
              <w:left w:val="single" w:color="FFFFFF" w:sz="6" w:space="0"/>
              <w:right w:val="single" w:color="FFFFFF" w:sz="6" w:space="0"/>
            </w:tcBorders>
            <w:vAlign w:val="center"/>
          </w:tcPr>
          <w:p>
            <w:pPr>
              <w:pStyle w:val="28"/>
            </w:pPr>
            <w:r>
              <w:t>单位：元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31"/>
            </w:pPr>
            <w:r>
              <w:t>项目编码</w:t>
            </w:r>
          </w:p>
        </w:tc>
        <w:tc>
          <w:tcPr>
            <w:tcW w:w="2608" w:type="dxa"/>
            <w:gridSpan w:val="2"/>
            <w:vAlign w:val="center"/>
          </w:tcPr>
          <w:p>
            <w:pPr>
              <w:pStyle w:val="30"/>
            </w:pPr>
            <w:r>
              <w:t>13102623P00237613728K</w:t>
            </w:r>
          </w:p>
        </w:tc>
        <w:tc>
          <w:tcPr>
            <w:tcW w:w="1587" w:type="dxa"/>
            <w:vAlign w:val="center"/>
          </w:tcPr>
          <w:p>
            <w:pPr>
              <w:pStyle w:val="31"/>
            </w:pPr>
            <w:r>
              <w:t>项目名称</w:t>
            </w:r>
          </w:p>
        </w:tc>
        <w:tc>
          <w:tcPr>
            <w:tcW w:w="4422" w:type="dxa"/>
            <w:gridSpan w:val="3"/>
            <w:vAlign w:val="center"/>
          </w:tcPr>
          <w:p>
            <w:pPr>
              <w:pStyle w:val="30"/>
            </w:pPr>
            <w:r>
              <w:t>大围河乡2023年度革命老区大围河村村街道路硬化工程</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31"/>
            </w:pPr>
            <w:r>
              <w:t>预算规模及资金用途</w:t>
            </w:r>
          </w:p>
        </w:tc>
        <w:tc>
          <w:tcPr>
            <w:tcW w:w="1276" w:type="dxa"/>
            <w:vAlign w:val="center"/>
          </w:tcPr>
          <w:p>
            <w:pPr>
              <w:pStyle w:val="31"/>
            </w:pPr>
            <w:r>
              <w:t>预算数</w:t>
            </w:r>
          </w:p>
        </w:tc>
        <w:tc>
          <w:tcPr>
            <w:tcW w:w="1332" w:type="dxa"/>
            <w:vAlign w:val="center"/>
          </w:tcPr>
          <w:p>
            <w:pPr>
              <w:pStyle w:val="30"/>
            </w:pPr>
            <w:r>
              <w:t>680000.00</w:t>
            </w:r>
          </w:p>
        </w:tc>
        <w:tc>
          <w:tcPr>
            <w:tcW w:w="1587" w:type="dxa"/>
            <w:vAlign w:val="center"/>
          </w:tcPr>
          <w:p>
            <w:pPr>
              <w:pStyle w:val="31"/>
            </w:pPr>
            <w:r>
              <w:t>其中：财政    资金</w:t>
            </w:r>
          </w:p>
        </w:tc>
        <w:tc>
          <w:tcPr>
            <w:tcW w:w="1304" w:type="dxa"/>
            <w:vAlign w:val="center"/>
          </w:tcPr>
          <w:p>
            <w:pPr>
              <w:pStyle w:val="30"/>
            </w:pPr>
            <w:r>
              <w:t>680000.00</w:t>
            </w:r>
          </w:p>
        </w:tc>
        <w:tc>
          <w:tcPr>
            <w:tcW w:w="1276" w:type="dxa"/>
            <w:vAlign w:val="center"/>
          </w:tcPr>
          <w:p>
            <w:pPr>
              <w:pStyle w:val="31"/>
            </w:pPr>
            <w:r>
              <w:t>其他资金</w:t>
            </w:r>
          </w:p>
        </w:tc>
        <w:tc>
          <w:tcPr>
            <w:tcW w:w="1843" w:type="dxa"/>
            <w:vAlign w:val="center"/>
          </w:tcPr>
          <w:p>
            <w:pPr>
              <w:pStyle w:val="30"/>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30"/>
            </w:pPr>
            <w:r>
              <w:t>2023年革命老区大围河村村街道路硬化工程建设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31"/>
            </w:pPr>
            <w:r>
              <w:t>资金支出计划（%）</w:t>
            </w:r>
          </w:p>
        </w:tc>
        <w:tc>
          <w:tcPr>
            <w:tcW w:w="2608" w:type="dxa"/>
            <w:gridSpan w:val="2"/>
            <w:vAlign w:val="center"/>
          </w:tcPr>
          <w:p>
            <w:pPr>
              <w:pStyle w:val="31"/>
            </w:pPr>
            <w:r>
              <w:t>3月底</w:t>
            </w:r>
          </w:p>
        </w:tc>
        <w:tc>
          <w:tcPr>
            <w:tcW w:w="1587" w:type="dxa"/>
            <w:vAlign w:val="center"/>
          </w:tcPr>
          <w:p>
            <w:pPr>
              <w:pStyle w:val="31"/>
            </w:pPr>
            <w:r>
              <w:t>6月底</w:t>
            </w:r>
          </w:p>
        </w:tc>
        <w:tc>
          <w:tcPr>
            <w:tcW w:w="1304" w:type="dxa"/>
            <w:vAlign w:val="center"/>
          </w:tcPr>
          <w:p>
            <w:pPr>
              <w:pStyle w:val="31"/>
            </w:pPr>
            <w:r>
              <w:t>10月底</w:t>
            </w:r>
          </w:p>
        </w:tc>
        <w:tc>
          <w:tcPr>
            <w:tcW w:w="3118" w:type="dxa"/>
            <w:gridSpan w:val="2"/>
            <w:vAlign w:val="center"/>
          </w:tcPr>
          <w:p>
            <w:pPr>
              <w:pStyle w:val="31"/>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32"/>
            </w:pPr>
            <w:r>
              <w:t>25.00</w:t>
            </w:r>
          </w:p>
        </w:tc>
        <w:tc>
          <w:tcPr>
            <w:tcW w:w="1587" w:type="dxa"/>
            <w:vAlign w:val="center"/>
          </w:tcPr>
          <w:p>
            <w:pPr>
              <w:pStyle w:val="32"/>
            </w:pPr>
            <w:r>
              <w:t>50.00</w:t>
            </w:r>
          </w:p>
        </w:tc>
        <w:tc>
          <w:tcPr>
            <w:tcW w:w="1304" w:type="dxa"/>
            <w:vAlign w:val="center"/>
          </w:tcPr>
          <w:p>
            <w:pPr>
              <w:pStyle w:val="32"/>
            </w:pPr>
            <w:r>
              <w:t>75.00</w:t>
            </w:r>
          </w:p>
        </w:tc>
        <w:tc>
          <w:tcPr>
            <w:tcW w:w="3118" w:type="dxa"/>
            <w:gridSpan w:val="2"/>
            <w:vAlign w:val="center"/>
          </w:tcPr>
          <w:p>
            <w:pPr>
              <w:pStyle w:val="32"/>
            </w:pPr>
            <w:r>
              <w:t>100.00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31"/>
            </w:pPr>
            <w:r>
              <w:t>绩效目标</w:t>
            </w:r>
          </w:p>
        </w:tc>
        <w:tc>
          <w:tcPr>
            <w:tcW w:w="8617" w:type="dxa"/>
            <w:gridSpan w:val="6"/>
            <w:vAlign w:val="center"/>
          </w:tcPr>
          <w:p>
            <w:pPr>
              <w:pStyle w:val="30"/>
            </w:pPr>
            <w:r>
              <w:t>1.目标内容1开展本项目主要解决大围河村部分路段出行困难问题，改善人居环境。</w:t>
            </w:r>
          </w:p>
        </w:tc>
      </w:tr>
    </w:tbl>
    <w:p>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31"/>
            </w:pPr>
            <w:r>
              <w:t>一级指标</w:t>
            </w:r>
          </w:p>
        </w:tc>
        <w:tc>
          <w:tcPr>
            <w:tcW w:w="1276" w:type="dxa"/>
            <w:vAlign w:val="center"/>
          </w:tcPr>
          <w:p>
            <w:pPr>
              <w:pStyle w:val="31"/>
            </w:pPr>
            <w:r>
              <w:t>二级指标</w:t>
            </w:r>
          </w:p>
        </w:tc>
        <w:tc>
          <w:tcPr>
            <w:tcW w:w="1332" w:type="dxa"/>
            <w:vAlign w:val="center"/>
          </w:tcPr>
          <w:p>
            <w:pPr>
              <w:pStyle w:val="31"/>
            </w:pPr>
            <w:r>
              <w:t>三级指标</w:t>
            </w:r>
          </w:p>
        </w:tc>
        <w:tc>
          <w:tcPr>
            <w:tcW w:w="2891" w:type="dxa"/>
            <w:vAlign w:val="center"/>
          </w:tcPr>
          <w:p>
            <w:pPr>
              <w:pStyle w:val="31"/>
            </w:pPr>
            <w:r>
              <w:t>绩效指标描述</w:t>
            </w:r>
          </w:p>
        </w:tc>
        <w:tc>
          <w:tcPr>
            <w:tcW w:w="1276" w:type="dxa"/>
            <w:vAlign w:val="center"/>
          </w:tcPr>
          <w:p>
            <w:pPr>
              <w:pStyle w:val="31"/>
            </w:pPr>
            <w:r>
              <w:t>指标值</w:t>
            </w:r>
          </w:p>
        </w:tc>
        <w:tc>
          <w:tcPr>
            <w:tcW w:w="1843" w:type="dxa"/>
            <w:vAlign w:val="center"/>
          </w:tcPr>
          <w:p>
            <w:pPr>
              <w:pStyle w:val="31"/>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32"/>
            </w:pPr>
            <w:r>
              <w:t>产出指标</w:t>
            </w:r>
          </w:p>
        </w:tc>
        <w:tc>
          <w:tcPr>
            <w:tcW w:w="1276" w:type="dxa"/>
            <w:vAlign w:val="center"/>
          </w:tcPr>
          <w:p>
            <w:pPr>
              <w:pStyle w:val="30"/>
            </w:pPr>
            <w:r>
              <w:t>数量指标</w:t>
            </w:r>
          </w:p>
        </w:tc>
        <w:tc>
          <w:tcPr>
            <w:tcW w:w="1332" w:type="dxa"/>
            <w:vAlign w:val="center"/>
          </w:tcPr>
          <w:p>
            <w:pPr>
              <w:pStyle w:val="30"/>
            </w:pPr>
            <w:r>
              <w:t>完成路面长度</w:t>
            </w:r>
          </w:p>
        </w:tc>
        <w:tc>
          <w:tcPr>
            <w:tcW w:w="2891" w:type="dxa"/>
            <w:vAlign w:val="center"/>
          </w:tcPr>
          <w:p>
            <w:pPr>
              <w:pStyle w:val="30"/>
            </w:pPr>
            <w:r>
              <w:t>路面长度1360米</w:t>
            </w:r>
          </w:p>
        </w:tc>
        <w:tc>
          <w:tcPr>
            <w:tcW w:w="1276" w:type="dxa"/>
            <w:vAlign w:val="center"/>
          </w:tcPr>
          <w:p>
            <w:pPr>
              <w:pStyle w:val="30"/>
            </w:pPr>
            <w:r>
              <w:t>1360米</w:t>
            </w:r>
          </w:p>
        </w:tc>
        <w:tc>
          <w:tcPr>
            <w:tcW w:w="1843" w:type="dxa"/>
            <w:vAlign w:val="center"/>
          </w:tcPr>
          <w:p>
            <w:pPr>
              <w:pStyle w:val="30"/>
            </w:pPr>
            <w:r>
              <w:t>文发改【2018】218号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30"/>
            </w:pPr>
            <w:r>
              <w:t>质量指标</w:t>
            </w:r>
          </w:p>
        </w:tc>
        <w:tc>
          <w:tcPr>
            <w:tcW w:w="1332" w:type="dxa"/>
            <w:vAlign w:val="center"/>
          </w:tcPr>
          <w:p>
            <w:pPr>
              <w:pStyle w:val="30"/>
            </w:pPr>
            <w:r>
              <w:t>工程质量</w:t>
            </w:r>
          </w:p>
        </w:tc>
        <w:tc>
          <w:tcPr>
            <w:tcW w:w="2891" w:type="dxa"/>
            <w:vAlign w:val="center"/>
          </w:tcPr>
          <w:p>
            <w:pPr>
              <w:pStyle w:val="30"/>
            </w:pPr>
            <w:r>
              <w:t>确保工程质量</w:t>
            </w:r>
          </w:p>
        </w:tc>
        <w:tc>
          <w:tcPr>
            <w:tcW w:w="1276" w:type="dxa"/>
            <w:vAlign w:val="center"/>
          </w:tcPr>
          <w:p>
            <w:pPr>
              <w:pStyle w:val="30"/>
            </w:pPr>
            <w:r>
              <w:t>100百分比</w:t>
            </w:r>
          </w:p>
        </w:tc>
        <w:tc>
          <w:tcPr>
            <w:tcW w:w="1843" w:type="dxa"/>
            <w:vAlign w:val="center"/>
          </w:tcPr>
          <w:p>
            <w:pPr>
              <w:pStyle w:val="30"/>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30"/>
            </w:pPr>
            <w:r>
              <w:t>质量指标</w:t>
            </w:r>
          </w:p>
        </w:tc>
        <w:tc>
          <w:tcPr>
            <w:tcW w:w="1332" w:type="dxa"/>
            <w:vAlign w:val="center"/>
          </w:tcPr>
          <w:p>
            <w:pPr>
              <w:pStyle w:val="30"/>
            </w:pPr>
            <w:r>
              <w:t>工程验收合格率</w:t>
            </w:r>
          </w:p>
        </w:tc>
        <w:tc>
          <w:tcPr>
            <w:tcW w:w="2891" w:type="dxa"/>
            <w:vAlign w:val="center"/>
          </w:tcPr>
          <w:p>
            <w:pPr>
              <w:pStyle w:val="30"/>
            </w:pPr>
            <w:r>
              <w:t>工程验收时通过验收的比率</w:t>
            </w:r>
          </w:p>
        </w:tc>
        <w:tc>
          <w:tcPr>
            <w:tcW w:w="1276" w:type="dxa"/>
            <w:vAlign w:val="center"/>
          </w:tcPr>
          <w:p>
            <w:pPr>
              <w:pStyle w:val="30"/>
            </w:pPr>
            <w:r>
              <w:t>100百分比</w:t>
            </w:r>
          </w:p>
        </w:tc>
        <w:tc>
          <w:tcPr>
            <w:tcW w:w="1843" w:type="dxa"/>
            <w:vAlign w:val="center"/>
          </w:tcPr>
          <w:p>
            <w:pPr>
              <w:pStyle w:val="30"/>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30"/>
            </w:pPr>
            <w:r>
              <w:t>时效指标</w:t>
            </w:r>
          </w:p>
        </w:tc>
        <w:tc>
          <w:tcPr>
            <w:tcW w:w="1332" w:type="dxa"/>
            <w:vAlign w:val="center"/>
          </w:tcPr>
          <w:p>
            <w:pPr>
              <w:pStyle w:val="30"/>
            </w:pPr>
            <w:r>
              <w:t>按照合同规定按时完工</w:t>
            </w:r>
          </w:p>
        </w:tc>
        <w:tc>
          <w:tcPr>
            <w:tcW w:w="2891" w:type="dxa"/>
            <w:vAlign w:val="center"/>
          </w:tcPr>
          <w:p>
            <w:pPr>
              <w:pStyle w:val="30"/>
            </w:pPr>
            <w:r>
              <w:t>按照合同竣工</w:t>
            </w:r>
          </w:p>
        </w:tc>
        <w:tc>
          <w:tcPr>
            <w:tcW w:w="1276" w:type="dxa"/>
            <w:vAlign w:val="center"/>
          </w:tcPr>
          <w:p>
            <w:pPr>
              <w:pStyle w:val="30"/>
            </w:pPr>
            <w:r>
              <w:t>3月</w:t>
            </w:r>
          </w:p>
        </w:tc>
        <w:tc>
          <w:tcPr>
            <w:tcW w:w="1843" w:type="dxa"/>
            <w:vAlign w:val="center"/>
          </w:tcPr>
          <w:p>
            <w:pPr>
              <w:pStyle w:val="30"/>
            </w:pPr>
            <w:r>
              <w:t>工程合同完工期限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30"/>
            </w:pPr>
            <w:r>
              <w:t>成本指标</w:t>
            </w:r>
          </w:p>
        </w:tc>
        <w:tc>
          <w:tcPr>
            <w:tcW w:w="1332" w:type="dxa"/>
            <w:vAlign w:val="center"/>
          </w:tcPr>
          <w:p>
            <w:pPr>
              <w:pStyle w:val="30"/>
            </w:pPr>
            <w:r>
              <w:t>工程投资额</w:t>
            </w:r>
          </w:p>
        </w:tc>
        <w:tc>
          <w:tcPr>
            <w:tcW w:w="2891" w:type="dxa"/>
            <w:vAlign w:val="center"/>
          </w:tcPr>
          <w:p>
            <w:pPr>
              <w:pStyle w:val="30"/>
            </w:pPr>
            <w:r>
              <w:t>堤顶路工程资金使用量为68万元</w:t>
            </w:r>
          </w:p>
        </w:tc>
        <w:tc>
          <w:tcPr>
            <w:tcW w:w="1276" w:type="dxa"/>
            <w:vAlign w:val="center"/>
          </w:tcPr>
          <w:p>
            <w:pPr>
              <w:pStyle w:val="30"/>
            </w:pPr>
            <w:r>
              <w:t>68万元</w:t>
            </w:r>
          </w:p>
        </w:tc>
        <w:tc>
          <w:tcPr>
            <w:tcW w:w="1843" w:type="dxa"/>
            <w:vAlign w:val="center"/>
          </w:tcPr>
          <w:p>
            <w:pPr>
              <w:pStyle w:val="30"/>
            </w:pPr>
            <w:r>
              <w:t>工程审核定安表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32"/>
            </w:pPr>
            <w:r>
              <w:t>效益指标</w:t>
            </w:r>
          </w:p>
        </w:tc>
        <w:tc>
          <w:tcPr>
            <w:tcW w:w="1276" w:type="dxa"/>
            <w:vAlign w:val="center"/>
          </w:tcPr>
          <w:p>
            <w:pPr>
              <w:pStyle w:val="30"/>
            </w:pPr>
            <w:r>
              <w:t>社会效益指标</w:t>
            </w:r>
          </w:p>
        </w:tc>
        <w:tc>
          <w:tcPr>
            <w:tcW w:w="1332" w:type="dxa"/>
            <w:vAlign w:val="center"/>
          </w:tcPr>
          <w:p>
            <w:pPr>
              <w:pStyle w:val="30"/>
            </w:pPr>
            <w:r>
              <w:t>解决出行困难问题，改善人居环境</w:t>
            </w:r>
          </w:p>
        </w:tc>
        <w:tc>
          <w:tcPr>
            <w:tcW w:w="2891" w:type="dxa"/>
            <w:vAlign w:val="center"/>
          </w:tcPr>
          <w:p>
            <w:pPr>
              <w:pStyle w:val="30"/>
            </w:pPr>
            <w:r>
              <w:t>整体出行环境得到有效改善，群众满意</w:t>
            </w:r>
          </w:p>
        </w:tc>
        <w:tc>
          <w:tcPr>
            <w:tcW w:w="1276" w:type="dxa"/>
            <w:vAlign w:val="center"/>
          </w:tcPr>
          <w:p>
            <w:pPr>
              <w:pStyle w:val="30"/>
            </w:pPr>
            <w:r>
              <w:t>≥98百分比</w:t>
            </w:r>
          </w:p>
        </w:tc>
        <w:tc>
          <w:tcPr>
            <w:tcW w:w="1843" w:type="dxa"/>
            <w:vAlign w:val="center"/>
          </w:tcPr>
          <w:p>
            <w:pPr>
              <w:pStyle w:val="30"/>
            </w:pPr>
            <w:r>
              <w:t>项目预期标准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30"/>
            </w:pPr>
            <w:r>
              <w:t>经济效益指标</w:t>
            </w:r>
          </w:p>
        </w:tc>
        <w:tc>
          <w:tcPr>
            <w:tcW w:w="1332" w:type="dxa"/>
            <w:vAlign w:val="center"/>
          </w:tcPr>
          <w:p>
            <w:pPr>
              <w:pStyle w:val="30"/>
            </w:pPr>
            <w:r>
              <w:t>交通出行方便了，老百姓收入提高了。</w:t>
            </w:r>
          </w:p>
        </w:tc>
        <w:tc>
          <w:tcPr>
            <w:tcW w:w="2891" w:type="dxa"/>
            <w:vAlign w:val="center"/>
          </w:tcPr>
          <w:p>
            <w:pPr>
              <w:pStyle w:val="30"/>
            </w:pPr>
            <w:r>
              <w:t>吸引更多投资者</w:t>
            </w:r>
          </w:p>
        </w:tc>
        <w:tc>
          <w:tcPr>
            <w:tcW w:w="1276" w:type="dxa"/>
            <w:vAlign w:val="center"/>
          </w:tcPr>
          <w:p>
            <w:pPr>
              <w:pStyle w:val="30"/>
            </w:pPr>
            <w:r>
              <w:t>100百分比</w:t>
            </w:r>
          </w:p>
        </w:tc>
        <w:tc>
          <w:tcPr>
            <w:tcW w:w="1843" w:type="dxa"/>
            <w:vAlign w:val="center"/>
          </w:tcPr>
          <w:p>
            <w:pPr>
              <w:pStyle w:val="30"/>
            </w:pPr>
            <w:r>
              <w:t>项目预期标准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30"/>
            </w:pPr>
            <w:r>
              <w:t>生态效益指标</w:t>
            </w:r>
          </w:p>
        </w:tc>
        <w:tc>
          <w:tcPr>
            <w:tcW w:w="1332" w:type="dxa"/>
            <w:vAlign w:val="center"/>
          </w:tcPr>
          <w:p>
            <w:pPr>
              <w:pStyle w:val="30"/>
            </w:pPr>
            <w:r>
              <w:t>路面整洁了干净了，镇区环境面貌提升了。</w:t>
            </w:r>
          </w:p>
        </w:tc>
        <w:tc>
          <w:tcPr>
            <w:tcW w:w="2891" w:type="dxa"/>
            <w:vAlign w:val="center"/>
          </w:tcPr>
          <w:p>
            <w:pPr>
              <w:pStyle w:val="30"/>
            </w:pPr>
            <w:r>
              <w:t>环境得到有效改善</w:t>
            </w:r>
          </w:p>
        </w:tc>
        <w:tc>
          <w:tcPr>
            <w:tcW w:w="1276" w:type="dxa"/>
            <w:vAlign w:val="center"/>
          </w:tcPr>
          <w:p>
            <w:pPr>
              <w:pStyle w:val="30"/>
            </w:pPr>
            <w:r>
              <w:t>100百分比</w:t>
            </w:r>
          </w:p>
        </w:tc>
        <w:tc>
          <w:tcPr>
            <w:tcW w:w="1843" w:type="dxa"/>
            <w:vAlign w:val="center"/>
          </w:tcPr>
          <w:p>
            <w:pPr>
              <w:pStyle w:val="30"/>
            </w:pPr>
            <w:r>
              <w:t>项目预期标准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30"/>
            </w:pPr>
            <w:r>
              <w:t>可持续影响指标</w:t>
            </w:r>
          </w:p>
        </w:tc>
        <w:tc>
          <w:tcPr>
            <w:tcW w:w="1332" w:type="dxa"/>
            <w:vAlign w:val="center"/>
          </w:tcPr>
          <w:p>
            <w:pPr>
              <w:pStyle w:val="30"/>
            </w:pPr>
            <w:r>
              <w:t>项目运行完好度</w:t>
            </w:r>
          </w:p>
        </w:tc>
        <w:tc>
          <w:tcPr>
            <w:tcW w:w="2891" w:type="dxa"/>
            <w:vAlign w:val="center"/>
          </w:tcPr>
          <w:p>
            <w:pPr>
              <w:pStyle w:val="30"/>
            </w:pPr>
            <w:r>
              <w:t>道路使用年限</w:t>
            </w:r>
          </w:p>
        </w:tc>
        <w:tc>
          <w:tcPr>
            <w:tcW w:w="1276" w:type="dxa"/>
            <w:vAlign w:val="center"/>
          </w:tcPr>
          <w:p>
            <w:pPr>
              <w:pStyle w:val="30"/>
            </w:pPr>
            <w:r>
              <w:t>≥20年</w:t>
            </w:r>
          </w:p>
        </w:tc>
        <w:tc>
          <w:tcPr>
            <w:tcW w:w="1843" w:type="dxa"/>
            <w:vAlign w:val="center"/>
          </w:tcPr>
          <w:p>
            <w:pPr>
              <w:pStyle w:val="30"/>
            </w:pPr>
            <w:r>
              <w:t>工程可行性报告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32"/>
            </w:pPr>
            <w:r>
              <w:t>满意度指标</w:t>
            </w:r>
          </w:p>
        </w:tc>
        <w:tc>
          <w:tcPr>
            <w:tcW w:w="1276" w:type="dxa"/>
            <w:vAlign w:val="center"/>
          </w:tcPr>
          <w:p>
            <w:pPr>
              <w:pStyle w:val="30"/>
            </w:pPr>
            <w:r>
              <w:t>服务对象满意度指标</w:t>
            </w:r>
          </w:p>
        </w:tc>
        <w:tc>
          <w:tcPr>
            <w:tcW w:w="1332" w:type="dxa"/>
            <w:vAlign w:val="center"/>
          </w:tcPr>
          <w:p>
            <w:pPr>
              <w:pStyle w:val="30"/>
            </w:pPr>
            <w:r>
              <w:t>受益群众满意度</w:t>
            </w:r>
          </w:p>
        </w:tc>
        <w:tc>
          <w:tcPr>
            <w:tcW w:w="2891" w:type="dxa"/>
            <w:vAlign w:val="center"/>
          </w:tcPr>
          <w:p>
            <w:pPr>
              <w:pStyle w:val="30"/>
            </w:pPr>
            <w:r>
              <w:t>受益调查中群众满意或较满意占总人数比</w:t>
            </w:r>
          </w:p>
        </w:tc>
        <w:tc>
          <w:tcPr>
            <w:tcW w:w="1276" w:type="dxa"/>
            <w:vAlign w:val="center"/>
          </w:tcPr>
          <w:p>
            <w:pPr>
              <w:pStyle w:val="30"/>
            </w:pPr>
            <w:r>
              <w:t>≥90百分比</w:t>
            </w:r>
          </w:p>
        </w:tc>
        <w:tc>
          <w:tcPr>
            <w:tcW w:w="1843" w:type="dxa"/>
            <w:vAlign w:val="center"/>
          </w:tcPr>
          <w:p>
            <w:pPr>
              <w:pStyle w:val="30"/>
            </w:pPr>
            <w:r>
              <w:t>满意度调查问卷</w:t>
            </w:r>
          </w:p>
        </w:tc>
      </w:tr>
    </w:tbl>
    <w:p>
      <w:pPr>
        <w:sectPr>
          <w:pgSz w:w="11900" w:h="16840"/>
          <w:pgMar w:top="1984" w:right="1304" w:bottom="1134" w:left="1304" w:header="720" w:footer="720" w:gutter="0"/>
          <w:cols w:space="720" w:num="1"/>
        </w:sectPr>
      </w:pPr>
    </w:p>
    <w:p>
      <w:pPr>
        <w:jc w:val="center"/>
      </w:pPr>
    </w:p>
    <w:p>
      <w:pPr>
        <w:ind w:firstLine="560"/>
        <w:outlineLvl w:val="3"/>
      </w:pPr>
      <w:bookmarkStart w:id="4" w:name="_Toc_4_4_0000000006"/>
      <w:r>
        <w:rPr>
          <w:rFonts w:ascii="方正仿宋_GBK" w:hAnsi="方正仿宋_GBK" w:eastAsia="方正仿宋_GBK" w:cs="方正仿宋_GBK"/>
          <w:color w:val="000000"/>
          <w:sz w:val="28"/>
        </w:rPr>
        <w:t>3.大围河乡2023年度革命老区李头村村街道路硬化工程绩效目标表</w:t>
      </w:r>
      <w:bookmarkEnd w:id="4"/>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29"/>
            </w:pPr>
            <w:r>
              <w:t>206001文安县大围河乡人民政府党政综合办公室本级</w:t>
            </w:r>
          </w:p>
        </w:tc>
        <w:tc>
          <w:tcPr>
            <w:tcW w:w="1843" w:type="dxa"/>
            <w:tcBorders>
              <w:top w:val="single" w:color="FFFFFF" w:sz="6" w:space="0"/>
              <w:left w:val="single" w:color="FFFFFF" w:sz="6" w:space="0"/>
              <w:right w:val="single" w:color="FFFFFF" w:sz="6" w:space="0"/>
            </w:tcBorders>
            <w:vAlign w:val="center"/>
          </w:tcPr>
          <w:p>
            <w:pPr>
              <w:pStyle w:val="28"/>
            </w:pPr>
            <w:r>
              <w:t>单位：元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31"/>
            </w:pPr>
            <w:r>
              <w:t>项目编码</w:t>
            </w:r>
          </w:p>
        </w:tc>
        <w:tc>
          <w:tcPr>
            <w:tcW w:w="2608" w:type="dxa"/>
            <w:gridSpan w:val="2"/>
            <w:vAlign w:val="center"/>
          </w:tcPr>
          <w:p>
            <w:pPr>
              <w:pStyle w:val="30"/>
            </w:pPr>
            <w:r>
              <w:t>13102623P00237613730J</w:t>
            </w:r>
          </w:p>
        </w:tc>
        <w:tc>
          <w:tcPr>
            <w:tcW w:w="1587" w:type="dxa"/>
            <w:vAlign w:val="center"/>
          </w:tcPr>
          <w:p>
            <w:pPr>
              <w:pStyle w:val="31"/>
            </w:pPr>
            <w:r>
              <w:t>项目名称</w:t>
            </w:r>
          </w:p>
        </w:tc>
        <w:tc>
          <w:tcPr>
            <w:tcW w:w="4422" w:type="dxa"/>
            <w:gridSpan w:val="3"/>
            <w:vAlign w:val="center"/>
          </w:tcPr>
          <w:p>
            <w:pPr>
              <w:pStyle w:val="30"/>
            </w:pPr>
            <w:r>
              <w:t>大围河乡2023年度革命老区李头村村街道路硬化工程</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31"/>
            </w:pPr>
            <w:r>
              <w:t>预算规模及资金用途</w:t>
            </w:r>
          </w:p>
        </w:tc>
        <w:tc>
          <w:tcPr>
            <w:tcW w:w="1276" w:type="dxa"/>
            <w:vAlign w:val="center"/>
          </w:tcPr>
          <w:p>
            <w:pPr>
              <w:pStyle w:val="31"/>
            </w:pPr>
            <w:r>
              <w:t>预算数</w:t>
            </w:r>
          </w:p>
        </w:tc>
        <w:tc>
          <w:tcPr>
            <w:tcW w:w="1332" w:type="dxa"/>
            <w:vAlign w:val="center"/>
          </w:tcPr>
          <w:p>
            <w:pPr>
              <w:pStyle w:val="30"/>
            </w:pPr>
            <w:r>
              <w:t>680000.00</w:t>
            </w:r>
          </w:p>
        </w:tc>
        <w:tc>
          <w:tcPr>
            <w:tcW w:w="1587" w:type="dxa"/>
            <w:vAlign w:val="center"/>
          </w:tcPr>
          <w:p>
            <w:pPr>
              <w:pStyle w:val="31"/>
            </w:pPr>
            <w:r>
              <w:t>其中：财政    资金</w:t>
            </w:r>
          </w:p>
        </w:tc>
        <w:tc>
          <w:tcPr>
            <w:tcW w:w="1304" w:type="dxa"/>
            <w:vAlign w:val="center"/>
          </w:tcPr>
          <w:p>
            <w:pPr>
              <w:pStyle w:val="30"/>
            </w:pPr>
            <w:r>
              <w:t>680000.00</w:t>
            </w:r>
          </w:p>
        </w:tc>
        <w:tc>
          <w:tcPr>
            <w:tcW w:w="1276" w:type="dxa"/>
            <w:vAlign w:val="center"/>
          </w:tcPr>
          <w:p>
            <w:pPr>
              <w:pStyle w:val="31"/>
            </w:pPr>
            <w:r>
              <w:t>其他资金</w:t>
            </w:r>
          </w:p>
        </w:tc>
        <w:tc>
          <w:tcPr>
            <w:tcW w:w="1843" w:type="dxa"/>
            <w:vAlign w:val="center"/>
          </w:tcPr>
          <w:p>
            <w:pPr>
              <w:pStyle w:val="30"/>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30"/>
            </w:pPr>
            <w:r>
              <w:t>2023革命老区李头村村街道路硬化工程建设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31"/>
            </w:pPr>
            <w:r>
              <w:t>资金支出计划（%）</w:t>
            </w:r>
          </w:p>
        </w:tc>
        <w:tc>
          <w:tcPr>
            <w:tcW w:w="2608" w:type="dxa"/>
            <w:gridSpan w:val="2"/>
            <w:vAlign w:val="center"/>
          </w:tcPr>
          <w:p>
            <w:pPr>
              <w:pStyle w:val="31"/>
            </w:pPr>
            <w:r>
              <w:t>3月底</w:t>
            </w:r>
          </w:p>
        </w:tc>
        <w:tc>
          <w:tcPr>
            <w:tcW w:w="1587" w:type="dxa"/>
            <w:vAlign w:val="center"/>
          </w:tcPr>
          <w:p>
            <w:pPr>
              <w:pStyle w:val="31"/>
            </w:pPr>
            <w:r>
              <w:t>6月底</w:t>
            </w:r>
          </w:p>
        </w:tc>
        <w:tc>
          <w:tcPr>
            <w:tcW w:w="1304" w:type="dxa"/>
            <w:vAlign w:val="center"/>
          </w:tcPr>
          <w:p>
            <w:pPr>
              <w:pStyle w:val="31"/>
            </w:pPr>
            <w:r>
              <w:t>10月底</w:t>
            </w:r>
          </w:p>
        </w:tc>
        <w:tc>
          <w:tcPr>
            <w:tcW w:w="3118" w:type="dxa"/>
            <w:gridSpan w:val="2"/>
            <w:vAlign w:val="center"/>
          </w:tcPr>
          <w:p>
            <w:pPr>
              <w:pStyle w:val="31"/>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32"/>
            </w:pPr>
            <w:r>
              <w:t>25.00</w:t>
            </w:r>
          </w:p>
        </w:tc>
        <w:tc>
          <w:tcPr>
            <w:tcW w:w="1587" w:type="dxa"/>
            <w:vAlign w:val="center"/>
          </w:tcPr>
          <w:p>
            <w:pPr>
              <w:pStyle w:val="32"/>
            </w:pPr>
            <w:r>
              <w:t>50.00</w:t>
            </w:r>
          </w:p>
        </w:tc>
        <w:tc>
          <w:tcPr>
            <w:tcW w:w="1304" w:type="dxa"/>
            <w:vAlign w:val="center"/>
          </w:tcPr>
          <w:p>
            <w:pPr>
              <w:pStyle w:val="32"/>
            </w:pPr>
            <w:r>
              <w:t>75.00</w:t>
            </w:r>
          </w:p>
        </w:tc>
        <w:tc>
          <w:tcPr>
            <w:tcW w:w="3118" w:type="dxa"/>
            <w:gridSpan w:val="2"/>
            <w:vAlign w:val="center"/>
          </w:tcPr>
          <w:p>
            <w:pPr>
              <w:pStyle w:val="32"/>
            </w:pPr>
            <w:r>
              <w:t>100.00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31"/>
            </w:pPr>
            <w:r>
              <w:t>绩效目标</w:t>
            </w:r>
          </w:p>
        </w:tc>
        <w:tc>
          <w:tcPr>
            <w:tcW w:w="8617" w:type="dxa"/>
            <w:gridSpan w:val="6"/>
            <w:vAlign w:val="center"/>
          </w:tcPr>
          <w:p>
            <w:pPr>
              <w:pStyle w:val="30"/>
            </w:pPr>
            <w:r>
              <w:t>1.目标内容1开展本项目主要解决李头村部分路段出行困难问题，改善人居环境。</w:t>
            </w:r>
          </w:p>
        </w:tc>
      </w:tr>
    </w:tbl>
    <w:p>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31"/>
            </w:pPr>
            <w:r>
              <w:t>一级指标</w:t>
            </w:r>
          </w:p>
        </w:tc>
        <w:tc>
          <w:tcPr>
            <w:tcW w:w="1276" w:type="dxa"/>
            <w:vAlign w:val="center"/>
          </w:tcPr>
          <w:p>
            <w:pPr>
              <w:pStyle w:val="31"/>
            </w:pPr>
            <w:r>
              <w:t>二级指标</w:t>
            </w:r>
          </w:p>
        </w:tc>
        <w:tc>
          <w:tcPr>
            <w:tcW w:w="1332" w:type="dxa"/>
            <w:vAlign w:val="center"/>
          </w:tcPr>
          <w:p>
            <w:pPr>
              <w:pStyle w:val="31"/>
            </w:pPr>
            <w:r>
              <w:t>三级指标</w:t>
            </w:r>
          </w:p>
        </w:tc>
        <w:tc>
          <w:tcPr>
            <w:tcW w:w="2891" w:type="dxa"/>
            <w:vAlign w:val="center"/>
          </w:tcPr>
          <w:p>
            <w:pPr>
              <w:pStyle w:val="31"/>
            </w:pPr>
            <w:r>
              <w:t>绩效指标描述</w:t>
            </w:r>
          </w:p>
        </w:tc>
        <w:tc>
          <w:tcPr>
            <w:tcW w:w="1276" w:type="dxa"/>
            <w:vAlign w:val="center"/>
          </w:tcPr>
          <w:p>
            <w:pPr>
              <w:pStyle w:val="31"/>
            </w:pPr>
            <w:r>
              <w:t>指标值</w:t>
            </w:r>
          </w:p>
        </w:tc>
        <w:tc>
          <w:tcPr>
            <w:tcW w:w="1843" w:type="dxa"/>
            <w:vAlign w:val="center"/>
          </w:tcPr>
          <w:p>
            <w:pPr>
              <w:pStyle w:val="31"/>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32"/>
            </w:pPr>
            <w:r>
              <w:t>产出指标</w:t>
            </w:r>
          </w:p>
        </w:tc>
        <w:tc>
          <w:tcPr>
            <w:tcW w:w="1276" w:type="dxa"/>
            <w:vAlign w:val="center"/>
          </w:tcPr>
          <w:p>
            <w:pPr>
              <w:pStyle w:val="30"/>
            </w:pPr>
            <w:r>
              <w:t>数量指标</w:t>
            </w:r>
          </w:p>
        </w:tc>
        <w:tc>
          <w:tcPr>
            <w:tcW w:w="1332" w:type="dxa"/>
            <w:vAlign w:val="center"/>
          </w:tcPr>
          <w:p>
            <w:pPr>
              <w:pStyle w:val="30"/>
            </w:pPr>
            <w:r>
              <w:t>完成路面长度</w:t>
            </w:r>
          </w:p>
        </w:tc>
        <w:tc>
          <w:tcPr>
            <w:tcW w:w="2891" w:type="dxa"/>
            <w:vAlign w:val="center"/>
          </w:tcPr>
          <w:p>
            <w:pPr>
              <w:pStyle w:val="30"/>
            </w:pPr>
            <w:r>
              <w:t>路面长度1400米</w:t>
            </w:r>
          </w:p>
        </w:tc>
        <w:tc>
          <w:tcPr>
            <w:tcW w:w="1276" w:type="dxa"/>
            <w:vAlign w:val="center"/>
          </w:tcPr>
          <w:p>
            <w:pPr>
              <w:pStyle w:val="30"/>
            </w:pPr>
            <w:r>
              <w:t>1400米</w:t>
            </w:r>
          </w:p>
        </w:tc>
        <w:tc>
          <w:tcPr>
            <w:tcW w:w="1843" w:type="dxa"/>
            <w:vAlign w:val="center"/>
          </w:tcPr>
          <w:p>
            <w:pPr>
              <w:pStyle w:val="30"/>
            </w:pPr>
            <w:r>
              <w:t>文发改【2018】218号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30"/>
            </w:pPr>
            <w:r>
              <w:t>质量指标</w:t>
            </w:r>
          </w:p>
        </w:tc>
        <w:tc>
          <w:tcPr>
            <w:tcW w:w="1332" w:type="dxa"/>
            <w:vAlign w:val="center"/>
          </w:tcPr>
          <w:p>
            <w:pPr>
              <w:pStyle w:val="30"/>
            </w:pPr>
            <w:r>
              <w:t>工程质量</w:t>
            </w:r>
          </w:p>
        </w:tc>
        <w:tc>
          <w:tcPr>
            <w:tcW w:w="2891" w:type="dxa"/>
            <w:vAlign w:val="center"/>
          </w:tcPr>
          <w:p>
            <w:pPr>
              <w:pStyle w:val="30"/>
            </w:pPr>
            <w:r>
              <w:t>确保工程质量</w:t>
            </w:r>
          </w:p>
        </w:tc>
        <w:tc>
          <w:tcPr>
            <w:tcW w:w="1276" w:type="dxa"/>
            <w:vAlign w:val="center"/>
          </w:tcPr>
          <w:p>
            <w:pPr>
              <w:pStyle w:val="30"/>
            </w:pPr>
            <w:r>
              <w:t>100百分比</w:t>
            </w:r>
          </w:p>
        </w:tc>
        <w:tc>
          <w:tcPr>
            <w:tcW w:w="1843" w:type="dxa"/>
            <w:vAlign w:val="center"/>
          </w:tcPr>
          <w:p>
            <w:pPr>
              <w:pStyle w:val="30"/>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30"/>
            </w:pPr>
            <w:r>
              <w:t>质量指标</w:t>
            </w:r>
          </w:p>
        </w:tc>
        <w:tc>
          <w:tcPr>
            <w:tcW w:w="1332" w:type="dxa"/>
            <w:vAlign w:val="center"/>
          </w:tcPr>
          <w:p>
            <w:pPr>
              <w:pStyle w:val="30"/>
            </w:pPr>
            <w:r>
              <w:t>工程验收合格率</w:t>
            </w:r>
          </w:p>
        </w:tc>
        <w:tc>
          <w:tcPr>
            <w:tcW w:w="2891" w:type="dxa"/>
            <w:vAlign w:val="center"/>
          </w:tcPr>
          <w:p>
            <w:pPr>
              <w:pStyle w:val="30"/>
            </w:pPr>
            <w:r>
              <w:t>工程验收时通过验收的比率</w:t>
            </w:r>
          </w:p>
        </w:tc>
        <w:tc>
          <w:tcPr>
            <w:tcW w:w="1276" w:type="dxa"/>
            <w:vAlign w:val="center"/>
          </w:tcPr>
          <w:p>
            <w:pPr>
              <w:pStyle w:val="30"/>
            </w:pPr>
            <w:r>
              <w:t>100百分比</w:t>
            </w:r>
          </w:p>
        </w:tc>
        <w:tc>
          <w:tcPr>
            <w:tcW w:w="1843" w:type="dxa"/>
            <w:vAlign w:val="center"/>
          </w:tcPr>
          <w:p>
            <w:pPr>
              <w:pStyle w:val="30"/>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30"/>
            </w:pPr>
            <w:r>
              <w:t>时效指标</w:t>
            </w:r>
          </w:p>
        </w:tc>
        <w:tc>
          <w:tcPr>
            <w:tcW w:w="1332" w:type="dxa"/>
            <w:vAlign w:val="center"/>
          </w:tcPr>
          <w:p>
            <w:pPr>
              <w:pStyle w:val="30"/>
            </w:pPr>
            <w:r>
              <w:t>按照合同规定按时完工</w:t>
            </w:r>
          </w:p>
        </w:tc>
        <w:tc>
          <w:tcPr>
            <w:tcW w:w="2891" w:type="dxa"/>
            <w:vAlign w:val="center"/>
          </w:tcPr>
          <w:p>
            <w:pPr>
              <w:pStyle w:val="30"/>
            </w:pPr>
            <w:r>
              <w:t>按照合同竣工</w:t>
            </w:r>
          </w:p>
        </w:tc>
        <w:tc>
          <w:tcPr>
            <w:tcW w:w="1276" w:type="dxa"/>
            <w:vAlign w:val="center"/>
          </w:tcPr>
          <w:p>
            <w:pPr>
              <w:pStyle w:val="30"/>
            </w:pPr>
            <w:r>
              <w:t>3月</w:t>
            </w:r>
          </w:p>
        </w:tc>
        <w:tc>
          <w:tcPr>
            <w:tcW w:w="1843" w:type="dxa"/>
            <w:vAlign w:val="center"/>
          </w:tcPr>
          <w:p>
            <w:pPr>
              <w:pStyle w:val="30"/>
            </w:pPr>
            <w:r>
              <w:t>工程合同完工期限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30"/>
            </w:pPr>
            <w:r>
              <w:t>成本指标</w:t>
            </w:r>
          </w:p>
        </w:tc>
        <w:tc>
          <w:tcPr>
            <w:tcW w:w="1332" w:type="dxa"/>
            <w:vAlign w:val="center"/>
          </w:tcPr>
          <w:p>
            <w:pPr>
              <w:pStyle w:val="30"/>
            </w:pPr>
            <w:r>
              <w:t>工程投资额</w:t>
            </w:r>
          </w:p>
        </w:tc>
        <w:tc>
          <w:tcPr>
            <w:tcW w:w="2891" w:type="dxa"/>
            <w:vAlign w:val="center"/>
          </w:tcPr>
          <w:p>
            <w:pPr>
              <w:pStyle w:val="30"/>
            </w:pPr>
            <w:r>
              <w:t>堤顶路工程资金使用量为68万元</w:t>
            </w:r>
          </w:p>
        </w:tc>
        <w:tc>
          <w:tcPr>
            <w:tcW w:w="1276" w:type="dxa"/>
            <w:vAlign w:val="center"/>
          </w:tcPr>
          <w:p>
            <w:pPr>
              <w:pStyle w:val="30"/>
            </w:pPr>
            <w:r>
              <w:t>68万元</w:t>
            </w:r>
          </w:p>
        </w:tc>
        <w:tc>
          <w:tcPr>
            <w:tcW w:w="1843" w:type="dxa"/>
            <w:vAlign w:val="center"/>
          </w:tcPr>
          <w:p>
            <w:pPr>
              <w:pStyle w:val="30"/>
            </w:pPr>
            <w:r>
              <w:t>工程审核定安表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32"/>
            </w:pPr>
            <w:r>
              <w:t>效益指标</w:t>
            </w:r>
          </w:p>
        </w:tc>
        <w:tc>
          <w:tcPr>
            <w:tcW w:w="1276" w:type="dxa"/>
            <w:vAlign w:val="center"/>
          </w:tcPr>
          <w:p>
            <w:pPr>
              <w:pStyle w:val="30"/>
            </w:pPr>
            <w:r>
              <w:t>社会效益指标</w:t>
            </w:r>
          </w:p>
        </w:tc>
        <w:tc>
          <w:tcPr>
            <w:tcW w:w="1332" w:type="dxa"/>
            <w:vAlign w:val="center"/>
          </w:tcPr>
          <w:p>
            <w:pPr>
              <w:pStyle w:val="30"/>
            </w:pPr>
            <w:r>
              <w:t>解决出行困难问题，改善人居环境</w:t>
            </w:r>
          </w:p>
        </w:tc>
        <w:tc>
          <w:tcPr>
            <w:tcW w:w="2891" w:type="dxa"/>
            <w:vAlign w:val="center"/>
          </w:tcPr>
          <w:p>
            <w:pPr>
              <w:pStyle w:val="30"/>
            </w:pPr>
            <w:r>
              <w:t>整体出行环境得到有效改善，群众满意</w:t>
            </w:r>
          </w:p>
        </w:tc>
        <w:tc>
          <w:tcPr>
            <w:tcW w:w="1276" w:type="dxa"/>
            <w:vAlign w:val="center"/>
          </w:tcPr>
          <w:p>
            <w:pPr>
              <w:pStyle w:val="30"/>
            </w:pPr>
            <w:r>
              <w:t>≥98百分比</w:t>
            </w:r>
          </w:p>
        </w:tc>
        <w:tc>
          <w:tcPr>
            <w:tcW w:w="1843" w:type="dxa"/>
            <w:vAlign w:val="center"/>
          </w:tcPr>
          <w:p>
            <w:pPr>
              <w:pStyle w:val="30"/>
            </w:pPr>
            <w:r>
              <w:t>项目预期标准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30"/>
            </w:pPr>
            <w:r>
              <w:t>社会效益指标</w:t>
            </w:r>
          </w:p>
        </w:tc>
        <w:tc>
          <w:tcPr>
            <w:tcW w:w="1332" w:type="dxa"/>
            <w:vAlign w:val="center"/>
          </w:tcPr>
          <w:p>
            <w:pPr>
              <w:pStyle w:val="30"/>
            </w:pPr>
            <w:r>
              <w:t>交通出行方便了，老百姓收入提高了。</w:t>
            </w:r>
          </w:p>
        </w:tc>
        <w:tc>
          <w:tcPr>
            <w:tcW w:w="2891" w:type="dxa"/>
            <w:vAlign w:val="center"/>
          </w:tcPr>
          <w:p>
            <w:pPr>
              <w:pStyle w:val="30"/>
            </w:pPr>
            <w:r>
              <w:t>吸引更多投资者</w:t>
            </w:r>
          </w:p>
        </w:tc>
        <w:tc>
          <w:tcPr>
            <w:tcW w:w="1276" w:type="dxa"/>
            <w:vAlign w:val="center"/>
          </w:tcPr>
          <w:p>
            <w:pPr>
              <w:pStyle w:val="30"/>
            </w:pPr>
            <w:r>
              <w:t>100百分比</w:t>
            </w:r>
          </w:p>
        </w:tc>
        <w:tc>
          <w:tcPr>
            <w:tcW w:w="1843" w:type="dxa"/>
            <w:vAlign w:val="center"/>
          </w:tcPr>
          <w:p>
            <w:pPr>
              <w:pStyle w:val="30"/>
            </w:pPr>
            <w:r>
              <w:t>项目预期标准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30"/>
            </w:pPr>
            <w:r>
              <w:t>生态效益指标</w:t>
            </w:r>
          </w:p>
        </w:tc>
        <w:tc>
          <w:tcPr>
            <w:tcW w:w="1332" w:type="dxa"/>
            <w:vAlign w:val="center"/>
          </w:tcPr>
          <w:p>
            <w:pPr>
              <w:pStyle w:val="30"/>
            </w:pPr>
            <w:r>
              <w:t>路面整洁了干净了，镇区环境面貌提升了。</w:t>
            </w:r>
          </w:p>
        </w:tc>
        <w:tc>
          <w:tcPr>
            <w:tcW w:w="2891" w:type="dxa"/>
            <w:vAlign w:val="center"/>
          </w:tcPr>
          <w:p>
            <w:pPr>
              <w:pStyle w:val="30"/>
            </w:pPr>
            <w:r>
              <w:t>环境得到有效改善</w:t>
            </w:r>
          </w:p>
        </w:tc>
        <w:tc>
          <w:tcPr>
            <w:tcW w:w="1276" w:type="dxa"/>
            <w:vAlign w:val="center"/>
          </w:tcPr>
          <w:p>
            <w:pPr>
              <w:pStyle w:val="30"/>
            </w:pPr>
            <w:r>
              <w:t>100百分比</w:t>
            </w:r>
          </w:p>
        </w:tc>
        <w:tc>
          <w:tcPr>
            <w:tcW w:w="1843" w:type="dxa"/>
            <w:vAlign w:val="center"/>
          </w:tcPr>
          <w:p>
            <w:pPr>
              <w:pStyle w:val="30"/>
            </w:pPr>
            <w:r>
              <w:t>项目预期标准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30"/>
            </w:pPr>
            <w:r>
              <w:t>可持续影响指标</w:t>
            </w:r>
          </w:p>
        </w:tc>
        <w:tc>
          <w:tcPr>
            <w:tcW w:w="1332" w:type="dxa"/>
            <w:vAlign w:val="center"/>
          </w:tcPr>
          <w:p>
            <w:pPr>
              <w:pStyle w:val="30"/>
            </w:pPr>
            <w:r>
              <w:t>项目运行完好度</w:t>
            </w:r>
          </w:p>
        </w:tc>
        <w:tc>
          <w:tcPr>
            <w:tcW w:w="2891" w:type="dxa"/>
            <w:vAlign w:val="center"/>
          </w:tcPr>
          <w:p>
            <w:pPr>
              <w:pStyle w:val="30"/>
            </w:pPr>
            <w:r>
              <w:t>道路使用年限</w:t>
            </w:r>
          </w:p>
        </w:tc>
        <w:tc>
          <w:tcPr>
            <w:tcW w:w="1276" w:type="dxa"/>
            <w:vAlign w:val="center"/>
          </w:tcPr>
          <w:p>
            <w:pPr>
              <w:pStyle w:val="30"/>
            </w:pPr>
            <w:r>
              <w:t>≥20年</w:t>
            </w:r>
          </w:p>
        </w:tc>
        <w:tc>
          <w:tcPr>
            <w:tcW w:w="1843" w:type="dxa"/>
            <w:vAlign w:val="center"/>
          </w:tcPr>
          <w:p>
            <w:pPr>
              <w:pStyle w:val="30"/>
            </w:pPr>
            <w:r>
              <w:t>工程可行性报告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32"/>
            </w:pPr>
            <w:r>
              <w:t>满意度指标</w:t>
            </w:r>
          </w:p>
        </w:tc>
        <w:tc>
          <w:tcPr>
            <w:tcW w:w="1276" w:type="dxa"/>
            <w:vAlign w:val="center"/>
          </w:tcPr>
          <w:p>
            <w:pPr>
              <w:pStyle w:val="30"/>
            </w:pPr>
            <w:r>
              <w:t>服务对象满意度指标</w:t>
            </w:r>
          </w:p>
        </w:tc>
        <w:tc>
          <w:tcPr>
            <w:tcW w:w="1332" w:type="dxa"/>
            <w:vAlign w:val="center"/>
          </w:tcPr>
          <w:p>
            <w:pPr>
              <w:pStyle w:val="30"/>
            </w:pPr>
            <w:r>
              <w:t>受益群众满意度</w:t>
            </w:r>
          </w:p>
        </w:tc>
        <w:tc>
          <w:tcPr>
            <w:tcW w:w="2891" w:type="dxa"/>
            <w:vAlign w:val="center"/>
          </w:tcPr>
          <w:p>
            <w:pPr>
              <w:pStyle w:val="30"/>
            </w:pPr>
            <w:r>
              <w:t>受益调查中群众满意或较满意占总人数比</w:t>
            </w:r>
          </w:p>
        </w:tc>
        <w:tc>
          <w:tcPr>
            <w:tcW w:w="1276" w:type="dxa"/>
            <w:vAlign w:val="center"/>
          </w:tcPr>
          <w:p>
            <w:pPr>
              <w:pStyle w:val="30"/>
            </w:pPr>
            <w:r>
              <w:t>≥90百分比</w:t>
            </w:r>
          </w:p>
        </w:tc>
        <w:tc>
          <w:tcPr>
            <w:tcW w:w="1843" w:type="dxa"/>
            <w:vAlign w:val="center"/>
          </w:tcPr>
          <w:p>
            <w:pPr>
              <w:pStyle w:val="30"/>
            </w:pPr>
            <w:r>
              <w:t>满意度调查问卷</w:t>
            </w:r>
          </w:p>
        </w:tc>
      </w:tr>
    </w:tbl>
    <w:p>
      <w:pPr>
        <w:sectPr>
          <w:pgSz w:w="11900" w:h="16840"/>
          <w:pgMar w:top="1984" w:right="1304" w:bottom="1134" w:left="1304" w:header="720" w:footer="720" w:gutter="0"/>
          <w:cols w:space="720" w:num="1"/>
        </w:sectPr>
      </w:pPr>
    </w:p>
    <w:p>
      <w:pPr>
        <w:jc w:val="center"/>
      </w:pPr>
    </w:p>
    <w:p>
      <w:pPr>
        <w:ind w:firstLine="560"/>
        <w:outlineLvl w:val="3"/>
      </w:pPr>
      <w:bookmarkStart w:id="5" w:name="_Toc_4_4_0000000007"/>
      <w:r>
        <w:rPr>
          <w:rFonts w:ascii="方正仿宋_GBK" w:hAnsi="方正仿宋_GBK" w:eastAsia="方正仿宋_GBK" w:cs="方正仿宋_GBK"/>
          <w:color w:val="000000"/>
          <w:sz w:val="28"/>
        </w:rPr>
        <w:t>4.大围河乡环境治理资金绩效目标表</w:t>
      </w:r>
      <w:bookmarkEnd w:id="5"/>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29"/>
            </w:pPr>
            <w:r>
              <w:t>206001文安县大围河乡人民政府党政综合办公室本级</w:t>
            </w:r>
          </w:p>
        </w:tc>
        <w:tc>
          <w:tcPr>
            <w:tcW w:w="1843" w:type="dxa"/>
            <w:tcBorders>
              <w:top w:val="single" w:color="FFFFFF" w:sz="6" w:space="0"/>
              <w:left w:val="single" w:color="FFFFFF" w:sz="6" w:space="0"/>
              <w:right w:val="single" w:color="FFFFFF" w:sz="6" w:space="0"/>
            </w:tcBorders>
            <w:vAlign w:val="center"/>
          </w:tcPr>
          <w:p>
            <w:pPr>
              <w:pStyle w:val="28"/>
            </w:pPr>
            <w:r>
              <w:t>单位：元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31"/>
            </w:pPr>
            <w:r>
              <w:t>项目编码</w:t>
            </w:r>
          </w:p>
        </w:tc>
        <w:tc>
          <w:tcPr>
            <w:tcW w:w="2608" w:type="dxa"/>
            <w:gridSpan w:val="2"/>
            <w:vAlign w:val="center"/>
          </w:tcPr>
          <w:p>
            <w:pPr>
              <w:pStyle w:val="30"/>
            </w:pPr>
            <w:r>
              <w:t>13102623P002376133847</w:t>
            </w:r>
          </w:p>
        </w:tc>
        <w:tc>
          <w:tcPr>
            <w:tcW w:w="1587" w:type="dxa"/>
            <w:vAlign w:val="center"/>
          </w:tcPr>
          <w:p>
            <w:pPr>
              <w:pStyle w:val="31"/>
            </w:pPr>
            <w:r>
              <w:t>项目名称</w:t>
            </w:r>
          </w:p>
        </w:tc>
        <w:tc>
          <w:tcPr>
            <w:tcW w:w="4422" w:type="dxa"/>
            <w:gridSpan w:val="3"/>
            <w:vAlign w:val="center"/>
          </w:tcPr>
          <w:p>
            <w:pPr>
              <w:pStyle w:val="30"/>
            </w:pPr>
            <w:r>
              <w:t>大围河乡环境治理资金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31"/>
            </w:pPr>
            <w:r>
              <w:t>预算规模及资金用途</w:t>
            </w:r>
          </w:p>
        </w:tc>
        <w:tc>
          <w:tcPr>
            <w:tcW w:w="1276" w:type="dxa"/>
            <w:vAlign w:val="center"/>
          </w:tcPr>
          <w:p>
            <w:pPr>
              <w:pStyle w:val="31"/>
            </w:pPr>
            <w:r>
              <w:t>预算数</w:t>
            </w:r>
          </w:p>
        </w:tc>
        <w:tc>
          <w:tcPr>
            <w:tcW w:w="1332" w:type="dxa"/>
            <w:vAlign w:val="center"/>
          </w:tcPr>
          <w:p>
            <w:pPr>
              <w:pStyle w:val="30"/>
            </w:pPr>
            <w:r>
              <w:t>300000.00</w:t>
            </w:r>
          </w:p>
        </w:tc>
        <w:tc>
          <w:tcPr>
            <w:tcW w:w="1587" w:type="dxa"/>
            <w:vAlign w:val="center"/>
          </w:tcPr>
          <w:p>
            <w:pPr>
              <w:pStyle w:val="31"/>
            </w:pPr>
            <w:r>
              <w:t>其中：财政    资金</w:t>
            </w:r>
          </w:p>
        </w:tc>
        <w:tc>
          <w:tcPr>
            <w:tcW w:w="1304" w:type="dxa"/>
            <w:vAlign w:val="center"/>
          </w:tcPr>
          <w:p>
            <w:pPr>
              <w:pStyle w:val="30"/>
            </w:pPr>
            <w:r>
              <w:t>300000.00</w:t>
            </w:r>
          </w:p>
        </w:tc>
        <w:tc>
          <w:tcPr>
            <w:tcW w:w="1276" w:type="dxa"/>
            <w:vAlign w:val="center"/>
          </w:tcPr>
          <w:p>
            <w:pPr>
              <w:pStyle w:val="31"/>
            </w:pPr>
            <w:r>
              <w:t>其他资金</w:t>
            </w:r>
          </w:p>
        </w:tc>
        <w:tc>
          <w:tcPr>
            <w:tcW w:w="1843" w:type="dxa"/>
            <w:vAlign w:val="center"/>
          </w:tcPr>
          <w:p>
            <w:pPr>
              <w:pStyle w:val="30"/>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30"/>
            </w:pPr>
            <w:r>
              <w:t>清理垃圾，改善城乡环境。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31"/>
            </w:pPr>
            <w:r>
              <w:t>资金支出计划（%）</w:t>
            </w:r>
          </w:p>
        </w:tc>
        <w:tc>
          <w:tcPr>
            <w:tcW w:w="2608" w:type="dxa"/>
            <w:gridSpan w:val="2"/>
            <w:vAlign w:val="center"/>
          </w:tcPr>
          <w:p>
            <w:pPr>
              <w:pStyle w:val="31"/>
            </w:pPr>
            <w:r>
              <w:t>3月底</w:t>
            </w:r>
          </w:p>
        </w:tc>
        <w:tc>
          <w:tcPr>
            <w:tcW w:w="1587" w:type="dxa"/>
            <w:vAlign w:val="center"/>
          </w:tcPr>
          <w:p>
            <w:pPr>
              <w:pStyle w:val="31"/>
            </w:pPr>
            <w:r>
              <w:t>6月底</w:t>
            </w:r>
          </w:p>
        </w:tc>
        <w:tc>
          <w:tcPr>
            <w:tcW w:w="1304" w:type="dxa"/>
            <w:vAlign w:val="center"/>
          </w:tcPr>
          <w:p>
            <w:pPr>
              <w:pStyle w:val="31"/>
            </w:pPr>
            <w:r>
              <w:t>10月底</w:t>
            </w:r>
          </w:p>
        </w:tc>
        <w:tc>
          <w:tcPr>
            <w:tcW w:w="3118" w:type="dxa"/>
            <w:gridSpan w:val="2"/>
            <w:vAlign w:val="center"/>
          </w:tcPr>
          <w:p>
            <w:pPr>
              <w:pStyle w:val="31"/>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32"/>
            </w:pPr>
            <w:r>
              <w:t>25.00</w:t>
            </w:r>
          </w:p>
        </w:tc>
        <w:tc>
          <w:tcPr>
            <w:tcW w:w="1587" w:type="dxa"/>
            <w:vAlign w:val="center"/>
          </w:tcPr>
          <w:p>
            <w:pPr>
              <w:pStyle w:val="32"/>
            </w:pPr>
            <w:r>
              <w:t>50.00</w:t>
            </w:r>
          </w:p>
        </w:tc>
        <w:tc>
          <w:tcPr>
            <w:tcW w:w="1304" w:type="dxa"/>
            <w:vAlign w:val="center"/>
          </w:tcPr>
          <w:p>
            <w:pPr>
              <w:pStyle w:val="32"/>
            </w:pPr>
            <w:r>
              <w:t>75.00</w:t>
            </w:r>
          </w:p>
        </w:tc>
        <w:tc>
          <w:tcPr>
            <w:tcW w:w="3118" w:type="dxa"/>
            <w:gridSpan w:val="2"/>
            <w:vAlign w:val="center"/>
          </w:tcPr>
          <w:p>
            <w:pPr>
              <w:pStyle w:val="32"/>
            </w:pPr>
            <w:r>
              <w:t>100.00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31"/>
            </w:pPr>
            <w:r>
              <w:t>绩效目标</w:t>
            </w:r>
          </w:p>
        </w:tc>
        <w:tc>
          <w:tcPr>
            <w:tcW w:w="8617" w:type="dxa"/>
            <w:gridSpan w:val="6"/>
            <w:vAlign w:val="center"/>
          </w:tcPr>
          <w:p>
            <w:pPr>
              <w:pStyle w:val="30"/>
            </w:pPr>
            <w:r>
              <w:t>1.目标内容1</w:t>
            </w:r>
          </w:p>
        </w:tc>
      </w:tr>
    </w:tbl>
    <w:p>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31"/>
            </w:pPr>
            <w:r>
              <w:t>一级指标</w:t>
            </w:r>
          </w:p>
        </w:tc>
        <w:tc>
          <w:tcPr>
            <w:tcW w:w="1276" w:type="dxa"/>
            <w:vAlign w:val="center"/>
          </w:tcPr>
          <w:p>
            <w:pPr>
              <w:pStyle w:val="31"/>
            </w:pPr>
            <w:r>
              <w:t>二级指标</w:t>
            </w:r>
          </w:p>
        </w:tc>
        <w:tc>
          <w:tcPr>
            <w:tcW w:w="1332" w:type="dxa"/>
            <w:vAlign w:val="center"/>
          </w:tcPr>
          <w:p>
            <w:pPr>
              <w:pStyle w:val="31"/>
            </w:pPr>
            <w:r>
              <w:t>三级指标</w:t>
            </w:r>
          </w:p>
        </w:tc>
        <w:tc>
          <w:tcPr>
            <w:tcW w:w="2891" w:type="dxa"/>
            <w:vAlign w:val="center"/>
          </w:tcPr>
          <w:p>
            <w:pPr>
              <w:pStyle w:val="31"/>
            </w:pPr>
            <w:r>
              <w:t>绩效指标描述</w:t>
            </w:r>
          </w:p>
        </w:tc>
        <w:tc>
          <w:tcPr>
            <w:tcW w:w="1276" w:type="dxa"/>
            <w:vAlign w:val="center"/>
          </w:tcPr>
          <w:p>
            <w:pPr>
              <w:pStyle w:val="31"/>
            </w:pPr>
            <w:r>
              <w:t>指标值</w:t>
            </w:r>
          </w:p>
        </w:tc>
        <w:tc>
          <w:tcPr>
            <w:tcW w:w="1843" w:type="dxa"/>
            <w:vAlign w:val="center"/>
          </w:tcPr>
          <w:p>
            <w:pPr>
              <w:pStyle w:val="31"/>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32"/>
            </w:pPr>
            <w:r>
              <w:t>产出指标</w:t>
            </w:r>
          </w:p>
        </w:tc>
        <w:tc>
          <w:tcPr>
            <w:tcW w:w="1276" w:type="dxa"/>
            <w:vAlign w:val="center"/>
          </w:tcPr>
          <w:p>
            <w:pPr>
              <w:pStyle w:val="30"/>
            </w:pPr>
            <w:r>
              <w:t>数量指标</w:t>
            </w:r>
          </w:p>
        </w:tc>
        <w:tc>
          <w:tcPr>
            <w:tcW w:w="1332" w:type="dxa"/>
            <w:vAlign w:val="center"/>
          </w:tcPr>
          <w:p>
            <w:pPr>
              <w:pStyle w:val="30"/>
            </w:pPr>
            <w:r>
              <w:t>清理垃圾点数量</w:t>
            </w:r>
          </w:p>
        </w:tc>
        <w:tc>
          <w:tcPr>
            <w:tcW w:w="2891" w:type="dxa"/>
            <w:vAlign w:val="center"/>
          </w:tcPr>
          <w:p>
            <w:pPr>
              <w:pStyle w:val="30"/>
            </w:pPr>
            <w:r>
              <w:t>清理整平垃圾点57处</w:t>
            </w:r>
          </w:p>
        </w:tc>
        <w:tc>
          <w:tcPr>
            <w:tcW w:w="1276" w:type="dxa"/>
            <w:vAlign w:val="center"/>
          </w:tcPr>
          <w:p>
            <w:pPr>
              <w:pStyle w:val="30"/>
            </w:pPr>
            <w:r>
              <w:t>57处</w:t>
            </w:r>
          </w:p>
          <w:p>
            <w:pPr>
              <w:pStyle w:val="30"/>
            </w:pPr>
          </w:p>
        </w:tc>
        <w:tc>
          <w:tcPr>
            <w:tcW w:w="1843" w:type="dxa"/>
            <w:vAlign w:val="center"/>
          </w:tcPr>
          <w:p>
            <w:pPr>
              <w:pStyle w:val="30"/>
            </w:pPr>
            <w:r>
              <w:t>关于大围河乡申请环境治理资金的请示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30"/>
            </w:pPr>
            <w:r>
              <w:t>数量指标</w:t>
            </w:r>
          </w:p>
        </w:tc>
        <w:tc>
          <w:tcPr>
            <w:tcW w:w="1332" w:type="dxa"/>
            <w:vAlign w:val="center"/>
          </w:tcPr>
          <w:p>
            <w:pPr>
              <w:pStyle w:val="30"/>
            </w:pPr>
            <w:r>
              <w:t>工程完工率</w:t>
            </w:r>
          </w:p>
        </w:tc>
        <w:tc>
          <w:tcPr>
            <w:tcW w:w="2891" w:type="dxa"/>
            <w:vAlign w:val="center"/>
          </w:tcPr>
          <w:p>
            <w:pPr>
              <w:pStyle w:val="30"/>
            </w:pPr>
            <w:r>
              <w:t>工程施工进度工作量占工程完工总量的比率</w:t>
            </w:r>
          </w:p>
          <w:p>
            <w:pPr>
              <w:pStyle w:val="30"/>
            </w:pPr>
          </w:p>
        </w:tc>
        <w:tc>
          <w:tcPr>
            <w:tcW w:w="1276" w:type="dxa"/>
            <w:vAlign w:val="center"/>
          </w:tcPr>
          <w:p>
            <w:pPr>
              <w:pStyle w:val="30"/>
            </w:pPr>
            <w:r>
              <w:t>≥95百分比</w:t>
            </w:r>
          </w:p>
          <w:p>
            <w:pPr>
              <w:pStyle w:val="30"/>
            </w:pPr>
          </w:p>
        </w:tc>
        <w:tc>
          <w:tcPr>
            <w:tcW w:w="1843" w:type="dxa"/>
            <w:vAlign w:val="center"/>
          </w:tcPr>
          <w:p>
            <w:pPr>
              <w:pStyle w:val="30"/>
            </w:pPr>
            <w:r>
              <w:t>关于大围河乡申请环境治理资金的请示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30"/>
            </w:pPr>
            <w:r>
              <w:t>质量指标</w:t>
            </w:r>
          </w:p>
        </w:tc>
        <w:tc>
          <w:tcPr>
            <w:tcW w:w="1332" w:type="dxa"/>
            <w:vAlign w:val="center"/>
          </w:tcPr>
          <w:p>
            <w:pPr>
              <w:pStyle w:val="30"/>
            </w:pPr>
            <w:r>
              <w:t>工程质量合格率</w:t>
            </w:r>
          </w:p>
          <w:p>
            <w:pPr>
              <w:pStyle w:val="30"/>
            </w:pPr>
          </w:p>
        </w:tc>
        <w:tc>
          <w:tcPr>
            <w:tcW w:w="2891" w:type="dxa"/>
            <w:vAlign w:val="center"/>
          </w:tcPr>
          <w:p>
            <w:pPr>
              <w:pStyle w:val="30"/>
            </w:pPr>
            <w:r>
              <w:t>合格的工程数量占工程完工总量的比例</w:t>
            </w:r>
          </w:p>
          <w:p>
            <w:pPr>
              <w:pStyle w:val="30"/>
            </w:pPr>
          </w:p>
        </w:tc>
        <w:tc>
          <w:tcPr>
            <w:tcW w:w="1276" w:type="dxa"/>
            <w:vAlign w:val="center"/>
          </w:tcPr>
          <w:p>
            <w:pPr>
              <w:pStyle w:val="30"/>
            </w:pPr>
            <w:r>
              <w:t>≥95百分比</w:t>
            </w:r>
          </w:p>
          <w:p>
            <w:pPr>
              <w:pStyle w:val="30"/>
            </w:pPr>
          </w:p>
        </w:tc>
        <w:tc>
          <w:tcPr>
            <w:tcW w:w="1843" w:type="dxa"/>
            <w:vAlign w:val="center"/>
          </w:tcPr>
          <w:p>
            <w:pPr>
              <w:pStyle w:val="30"/>
            </w:pPr>
            <w:r>
              <w:t>关于大围河乡申请环境治理资金的请示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30"/>
            </w:pPr>
            <w:r>
              <w:t>时效指标</w:t>
            </w:r>
          </w:p>
        </w:tc>
        <w:tc>
          <w:tcPr>
            <w:tcW w:w="1332" w:type="dxa"/>
            <w:vAlign w:val="center"/>
          </w:tcPr>
          <w:p>
            <w:pPr>
              <w:pStyle w:val="30"/>
            </w:pPr>
            <w:r>
              <w:t>项目按计划完工率</w:t>
            </w:r>
          </w:p>
          <w:p>
            <w:pPr>
              <w:pStyle w:val="30"/>
            </w:pPr>
          </w:p>
        </w:tc>
        <w:tc>
          <w:tcPr>
            <w:tcW w:w="2891" w:type="dxa"/>
            <w:vAlign w:val="center"/>
          </w:tcPr>
          <w:p>
            <w:pPr>
              <w:pStyle w:val="30"/>
            </w:pPr>
            <w:r>
              <w:t>项目按计划完工情况</w:t>
            </w:r>
          </w:p>
        </w:tc>
        <w:tc>
          <w:tcPr>
            <w:tcW w:w="1276" w:type="dxa"/>
            <w:vAlign w:val="center"/>
          </w:tcPr>
          <w:p>
            <w:pPr>
              <w:pStyle w:val="30"/>
            </w:pPr>
            <w:r>
              <w:t>≥95百分比</w:t>
            </w:r>
          </w:p>
        </w:tc>
        <w:tc>
          <w:tcPr>
            <w:tcW w:w="1843" w:type="dxa"/>
            <w:vAlign w:val="center"/>
          </w:tcPr>
          <w:p>
            <w:pPr>
              <w:pStyle w:val="30"/>
            </w:pPr>
            <w:r>
              <w:t>关于大围河乡申请环境治理资金的请示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30"/>
            </w:pPr>
            <w:r>
              <w:t>成本指标</w:t>
            </w:r>
          </w:p>
        </w:tc>
        <w:tc>
          <w:tcPr>
            <w:tcW w:w="1332" w:type="dxa"/>
            <w:vAlign w:val="center"/>
          </w:tcPr>
          <w:p>
            <w:pPr>
              <w:pStyle w:val="30"/>
            </w:pPr>
            <w:r>
              <w:t>项目资金支付率</w:t>
            </w:r>
          </w:p>
        </w:tc>
        <w:tc>
          <w:tcPr>
            <w:tcW w:w="2891" w:type="dxa"/>
            <w:vAlign w:val="center"/>
          </w:tcPr>
          <w:p>
            <w:pPr>
              <w:pStyle w:val="30"/>
            </w:pPr>
            <w:r>
              <w:t>资金支付占总额的比率</w:t>
            </w:r>
          </w:p>
        </w:tc>
        <w:tc>
          <w:tcPr>
            <w:tcW w:w="1276" w:type="dxa"/>
            <w:vAlign w:val="center"/>
          </w:tcPr>
          <w:p>
            <w:pPr>
              <w:pStyle w:val="30"/>
            </w:pPr>
            <w:r>
              <w:t>100百分比</w:t>
            </w:r>
          </w:p>
        </w:tc>
        <w:tc>
          <w:tcPr>
            <w:tcW w:w="1843" w:type="dxa"/>
            <w:vAlign w:val="center"/>
          </w:tcPr>
          <w:p>
            <w:pPr>
              <w:pStyle w:val="30"/>
            </w:pPr>
            <w:r>
              <w:t>关于大围河乡申请环境治理资金的请示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32"/>
            </w:pPr>
            <w:r>
              <w:t>效益指标</w:t>
            </w:r>
          </w:p>
        </w:tc>
        <w:tc>
          <w:tcPr>
            <w:tcW w:w="1276" w:type="dxa"/>
            <w:vAlign w:val="center"/>
          </w:tcPr>
          <w:p>
            <w:pPr>
              <w:pStyle w:val="30"/>
            </w:pPr>
            <w:r>
              <w:t>社会效益指标</w:t>
            </w:r>
          </w:p>
        </w:tc>
        <w:tc>
          <w:tcPr>
            <w:tcW w:w="1332" w:type="dxa"/>
            <w:vAlign w:val="center"/>
          </w:tcPr>
          <w:p>
            <w:pPr>
              <w:pStyle w:val="30"/>
            </w:pPr>
            <w:r>
              <w:t>项目综合利用率</w:t>
            </w:r>
          </w:p>
        </w:tc>
        <w:tc>
          <w:tcPr>
            <w:tcW w:w="2891" w:type="dxa"/>
            <w:vAlign w:val="center"/>
          </w:tcPr>
          <w:p>
            <w:pPr>
              <w:pStyle w:val="30"/>
            </w:pPr>
            <w:r>
              <w:t>项目覆盖全乡，改善全乡整体环境</w:t>
            </w:r>
          </w:p>
        </w:tc>
        <w:tc>
          <w:tcPr>
            <w:tcW w:w="1276" w:type="dxa"/>
            <w:vAlign w:val="center"/>
          </w:tcPr>
          <w:p>
            <w:pPr>
              <w:pStyle w:val="30"/>
            </w:pPr>
            <w:r>
              <w:t>≥95百分比</w:t>
            </w:r>
          </w:p>
          <w:p>
            <w:pPr>
              <w:pStyle w:val="30"/>
            </w:pPr>
          </w:p>
        </w:tc>
        <w:tc>
          <w:tcPr>
            <w:tcW w:w="1843" w:type="dxa"/>
            <w:vAlign w:val="center"/>
          </w:tcPr>
          <w:p>
            <w:pPr>
              <w:pStyle w:val="30"/>
            </w:pPr>
            <w:r>
              <w:t>关于大围河乡申请环境治理资金的请示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30"/>
            </w:pPr>
            <w:r>
              <w:t>社会效益指标</w:t>
            </w:r>
          </w:p>
        </w:tc>
        <w:tc>
          <w:tcPr>
            <w:tcW w:w="1332" w:type="dxa"/>
            <w:vAlign w:val="center"/>
          </w:tcPr>
          <w:p>
            <w:pPr>
              <w:pStyle w:val="30"/>
            </w:pPr>
            <w:r>
              <w:t>项目受益村庄</w:t>
            </w:r>
          </w:p>
        </w:tc>
        <w:tc>
          <w:tcPr>
            <w:tcW w:w="2891" w:type="dxa"/>
            <w:vAlign w:val="center"/>
          </w:tcPr>
          <w:p>
            <w:pPr>
              <w:pStyle w:val="30"/>
            </w:pPr>
            <w:r>
              <w:t>受益村庄占全乡村庄总数的比例</w:t>
            </w:r>
          </w:p>
        </w:tc>
        <w:tc>
          <w:tcPr>
            <w:tcW w:w="1276" w:type="dxa"/>
            <w:vAlign w:val="center"/>
          </w:tcPr>
          <w:p>
            <w:pPr>
              <w:pStyle w:val="30"/>
            </w:pPr>
            <w:r>
              <w:t>24个</w:t>
            </w:r>
          </w:p>
          <w:p>
            <w:pPr>
              <w:pStyle w:val="30"/>
            </w:pPr>
          </w:p>
        </w:tc>
        <w:tc>
          <w:tcPr>
            <w:tcW w:w="1843" w:type="dxa"/>
            <w:vAlign w:val="center"/>
          </w:tcPr>
          <w:p>
            <w:pPr>
              <w:pStyle w:val="30"/>
            </w:pPr>
            <w:r>
              <w:t>关于大围河乡申请环境治理资金的请示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30"/>
            </w:pPr>
            <w:r>
              <w:t>生态效益指标</w:t>
            </w:r>
          </w:p>
        </w:tc>
        <w:tc>
          <w:tcPr>
            <w:tcW w:w="1332" w:type="dxa"/>
            <w:vAlign w:val="center"/>
          </w:tcPr>
          <w:p>
            <w:pPr>
              <w:pStyle w:val="30"/>
            </w:pPr>
            <w:r>
              <w:t>辖区环境状况</w:t>
            </w:r>
          </w:p>
          <w:p>
            <w:pPr>
              <w:pStyle w:val="30"/>
            </w:pPr>
          </w:p>
        </w:tc>
        <w:tc>
          <w:tcPr>
            <w:tcW w:w="2891" w:type="dxa"/>
            <w:vAlign w:val="center"/>
          </w:tcPr>
          <w:p>
            <w:pPr>
              <w:pStyle w:val="30"/>
            </w:pPr>
            <w:r>
              <w:t>指导城市市容环境治理，改善人居环境，提高村庄整洁率</w:t>
            </w:r>
          </w:p>
          <w:p>
            <w:pPr>
              <w:pStyle w:val="30"/>
            </w:pPr>
          </w:p>
        </w:tc>
        <w:tc>
          <w:tcPr>
            <w:tcW w:w="1276" w:type="dxa"/>
            <w:vAlign w:val="center"/>
          </w:tcPr>
          <w:p>
            <w:pPr>
              <w:pStyle w:val="30"/>
            </w:pPr>
            <w:r>
              <w:t>≥95百分比</w:t>
            </w:r>
          </w:p>
        </w:tc>
        <w:tc>
          <w:tcPr>
            <w:tcW w:w="1843" w:type="dxa"/>
            <w:vAlign w:val="center"/>
          </w:tcPr>
          <w:p>
            <w:pPr>
              <w:pStyle w:val="30"/>
            </w:pPr>
            <w:r>
              <w:t>关于大围河乡申请环境治理资金的请示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30"/>
            </w:pPr>
            <w:r>
              <w:t>可持续影响指标</w:t>
            </w:r>
          </w:p>
        </w:tc>
        <w:tc>
          <w:tcPr>
            <w:tcW w:w="1332" w:type="dxa"/>
            <w:vAlign w:val="center"/>
          </w:tcPr>
          <w:p>
            <w:pPr>
              <w:pStyle w:val="30"/>
            </w:pPr>
            <w:r>
              <w:t>项目持续发挥作用期限</w:t>
            </w:r>
          </w:p>
        </w:tc>
        <w:tc>
          <w:tcPr>
            <w:tcW w:w="2891" w:type="dxa"/>
            <w:vAlign w:val="center"/>
          </w:tcPr>
          <w:p>
            <w:pPr>
              <w:pStyle w:val="30"/>
            </w:pPr>
            <w:r>
              <w:t>通过项目的实施，保持村庄整洁卫生期限</w:t>
            </w:r>
          </w:p>
        </w:tc>
        <w:tc>
          <w:tcPr>
            <w:tcW w:w="1276" w:type="dxa"/>
            <w:vAlign w:val="center"/>
          </w:tcPr>
          <w:p>
            <w:pPr>
              <w:pStyle w:val="30"/>
            </w:pPr>
            <w:r>
              <w:t>1年</w:t>
            </w:r>
          </w:p>
        </w:tc>
        <w:tc>
          <w:tcPr>
            <w:tcW w:w="1843" w:type="dxa"/>
            <w:vAlign w:val="center"/>
          </w:tcPr>
          <w:p>
            <w:pPr>
              <w:pStyle w:val="30"/>
            </w:pPr>
            <w:r>
              <w:t>关于大围河乡申请环境治理资金的请示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32"/>
            </w:pPr>
            <w:r>
              <w:t>满意度指标</w:t>
            </w:r>
          </w:p>
        </w:tc>
        <w:tc>
          <w:tcPr>
            <w:tcW w:w="1276" w:type="dxa"/>
            <w:vAlign w:val="center"/>
          </w:tcPr>
          <w:p>
            <w:pPr>
              <w:pStyle w:val="30"/>
            </w:pPr>
            <w:r>
              <w:t>服务对象满意度指标</w:t>
            </w:r>
          </w:p>
        </w:tc>
        <w:tc>
          <w:tcPr>
            <w:tcW w:w="1332" w:type="dxa"/>
            <w:vAlign w:val="center"/>
          </w:tcPr>
          <w:p>
            <w:pPr>
              <w:pStyle w:val="30"/>
            </w:pPr>
            <w:r>
              <w:t>社会公众满意度（%）</w:t>
            </w:r>
          </w:p>
        </w:tc>
        <w:tc>
          <w:tcPr>
            <w:tcW w:w="2891" w:type="dxa"/>
            <w:vAlign w:val="center"/>
          </w:tcPr>
          <w:p>
            <w:pPr>
              <w:pStyle w:val="30"/>
            </w:pPr>
            <w:r>
              <w:t>社会公众满意度（%）</w:t>
            </w:r>
          </w:p>
        </w:tc>
        <w:tc>
          <w:tcPr>
            <w:tcW w:w="1276" w:type="dxa"/>
            <w:vAlign w:val="center"/>
          </w:tcPr>
          <w:p>
            <w:pPr>
              <w:pStyle w:val="30"/>
            </w:pPr>
            <w:r>
              <w:t>≥95项目实施对人民群众的生产生活影响。</w:t>
            </w:r>
          </w:p>
          <w:p>
            <w:pPr>
              <w:pStyle w:val="30"/>
            </w:pPr>
          </w:p>
        </w:tc>
        <w:tc>
          <w:tcPr>
            <w:tcW w:w="1843" w:type="dxa"/>
            <w:vAlign w:val="center"/>
          </w:tcPr>
          <w:p>
            <w:pPr>
              <w:pStyle w:val="30"/>
            </w:pPr>
            <w:r>
              <w:t>关于大围河乡申请环境治理资金的请示</w:t>
            </w:r>
          </w:p>
        </w:tc>
      </w:tr>
    </w:tbl>
    <w:p>
      <w:pPr>
        <w:sectPr>
          <w:pgSz w:w="11900" w:h="16840"/>
          <w:pgMar w:top="1984" w:right="1304" w:bottom="1134" w:left="1304" w:header="720" w:footer="720" w:gutter="0"/>
          <w:cols w:space="720" w:num="1"/>
        </w:sectPr>
      </w:pPr>
    </w:p>
    <w:p>
      <w:pPr>
        <w:jc w:val="center"/>
      </w:pPr>
    </w:p>
    <w:p>
      <w:pPr>
        <w:ind w:firstLine="560"/>
        <w:outlineLvl w:val="3"/>
      </w:pPr>
      <w:bookmarkStart w:id="6" w:name="_Toc_4_4_0000000008"/>
      <w:r>
        <w:rPr>
          <w:rFonts w:ascii="方正仿宋_GBK" w:hAnsi="方正仿宋_GBK" w:eastAsia="方正仿宋_GBK" w:cs="方正仿宋_GBK"/>
          <w:color w:val="000000"/>
          <w:sz w:val="28"/>
        </w:rPr>
        <w:t>5.大围河乡民族工作经费绩效目标表</w:t>
      </w:r>
      <w:bookmarkEnd w:id="6"/>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29"/>
            </w:pPr>
            <w:r>
              <w:t>206001文安县大围河乡人民政府党政综合办公室本级</w:t>
            </w:r>
          </w:p>
        </w:tc>
        <w:tc>
          <w:tcPr>
            <w:tcW w:w="1843" w:type="dxa"/>
            <w:tcBorders>
              <w:top w:val="single" w:color="FFFFFF" w:sz="6" w:space="0"/>
              <w:left w:val="single" w:color="FFFFFF" w:sz="6" w:space="0"/>
              <w:right w:val="single" w:color="FFFFFF" w:sz="6" w:space="0"/>
            </w:tcBorders>
            <w:vAlign w:val="center"/>
          </w:tcPr>
          <w:p>
            <w:pPr>
              <w:pStyle w:val="28"/>
            </w:pPr>
            <w:r>
              <w:t>单位：元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31"/>
            </w:pPr>
            <w:r>
              <w:t>项目编码</w:t>
            </w:r>
          </w:p>
        </w:tc>
        <w:tc>
          <w:tcPr>
            <w:tcW w:w="2608" w:type="dxa"/>
            <w:gridSpan w:val="2"/>
            <w:vAlign w:val="center"/>
          </w:tcPr>
          <w:p>
            <w:pPr>
              <w:pStyle w:val="30"/>
            </w:pPr>
            <w:r>
              <w:t>13102623P00237612015Q</w:t>
            </w:r>
          </w:p>
        </w:tc>
        <w:tc>
          <w:tcPr>
            <w:tcW w:w="1587" w:type="dxa"/>
            <w:vAlign w:val="center"/>
          </w:tcPr>
          <w:p>
            <w:pPr>
              <w:pStyle w:val="31"/>
            </w:pPr>
            <w:r>
              <w:t>项目名称</w:t>
            </w:r>
          </w:p>
        </w:tc>
        <w:tc>
          <w:tcPr>
            <w:tcW w:w="4422" w:type="dxa"/>
            <w:gridSpan w:val="3"/>
            <w:vAlign w:val="center"/>
          </w:tcPr>
          <w:p>
            <w:pPr>
              <w:pStyle w:val="30"/>
            </w:pPr>
            <w:r>
              <w:t>大围河乡民族工作经费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31"/>
            </w:pPr>
            <w:r>
              <w:t>预算规模及资金用途</w:t>
            </w:r>
          </w:p>
        </w:tc>
        <w:tc>
          <w:tcPr>
            <w:tcW w:w="1276" w:type="dxa"/>
            <w:vAlign w:val="center"/>
          </w:tcPr>
          <w:p>
            <w:pPr>
              <w:pStyle w:val="31"/>
            </w:pPr>
            <w:r>
              <w:t>预算数</w:t>
            </w:r>
          </w:p>
        </w:tc>
        <w:tc>
          <w:tcPr>
            <w:tcW w:w="1332" w:type="dxa"/>
            <w:vAlign w:val="center"/>
          </w:tcPr>
          <w:p>
            <w:pPr>
              <w:pStyle w:val="30"/>
            </w:pPr>
            <w:r>
              <w:t>60000.00</w:t>
            </w:r>
          </w:p>
        </w:tc>
        <w:tc>
          <w:tcPr>
            <w:tcW w:w="1587" w:type="dxa"/>
            <w:vAlign w:val="center"/>
          </w:tcPr>
          <w:p>
            <w:pPr>
              <w:pStyle w:val="31"/>
            </w:pPr>
            <w:r>
              <w:t>其中：财政    资金</w:t>
            </w:r>
          </w:p>
        </w:tc>
        <w:tc>
          <w:tcPr>
            <w:tcW w:w="1304" w:type="dxa"/>
            <w:vAlign w:val="center"/>
          </w:tcPr>
          <w:p>
            <w:pPr>
              <w:pStyle w:val="30"/>
            </w:pPr>
            <w:r>
              <w:t>60000.00</w:t>
            </w:r>
          </w:p>
        </w:tc>
        <w:tc>
          <w:tcPr>
            <w:tcW w:w="1276" w:type="dxa"/>
            <w:vAlign w:val="center"/>
          </w:tcPr>
          <w:p>
            <w:pPr>
              <w:pStyle w:val="31"/>
            </w:pPr>
            <w:r>
              <w:t>其他资金</w:t>
            </w:r>
          </w:p>
        </w:tc>
        <w:tc>
          <w:tcPr>
            <w:tcW w:w="1843" w:type="dxa"/>
            <w:vAlign w:val="center"/>
          </w:tcPr>
          <w:p>
            <w:pPr>
              <w:pStyle w:val="30"/>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30"/>
            </w:pPr>
            <w:r>
              <w:t>为了加快少数民族团结发展，民族工作顺利开展，圆满的完成上级下达的各项任务。</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31"/>
            </w:pPr>
            <w:r>
              <w:t>资金支出计划（%）</w:t>
            </w:r>
          </w:p>
        </w:tc>
        <w:tc>
          <w:tcPr>
            <w:tcW w:w="2608" w:type="dxa"/>
            <w:gridSpan w:val="2"/>
            <w:vAlign w:val="center"/>
          </w:tcPr>
          <w:p>
            <w:pPr>
              <w:pStyle w:val="31"/>
            </w:pPr>
            <w:r>
              <w:t>3月底</w:t>
            </w:r>
          </w:p>
        </w:tc>
        <w:tc>
          <w:tcPr>
            <w:tcW w:w="1587" w:type="dxa"/>
            <w:vAlign w:val="center"/>
          </w:tcPr>
          <w:p>
            <w:pPr>
              <w:pStyle w:val="31"/>
            </w:pPr>
            <w:r>
              <w:t>6月底</w:t>
            </w:r>
          </w:p>
        </w:tc>
        <w:tc>
          <w:tcPr>
            <w:tcW w:w="1304" w:type="dxa"/>
            <w:vAlign w:val="center"/>
          </w:tcPr>
          <w:p>
            <w:pPr>
              <w:pStyle w:val="31"/>
            </w:pPr>
            <w:r>
              <w:t>10月底</w:t>
            </w:r>
          </w:p>
        </w:tc>
        <w:tc>
          <w:tcPr>
            <w:tcW w:w="3118" w:type="dxa"/>
            <w:gridSpan w:val="2"/>
            <w:vAlign w:val="center"/>
          </w:tcPr>
          <w:p>
            <w:pPr>
              <w:pStyle w:val="31"/>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32"/>
            </w:pPr>
            <w:r>
              <w:t>25.00</w:t>
            </w:r>
          </w:p>
        </w:tc>
        <w:tc>
          <w:tcPr>
            <w:tcW w:w="1587" w:type="dxa"/>
            <w:vAlign w:val="center"/>
          </w:tcPr>
          <w:p>
            <w:pPr>
              <w:pStyle w:val="32"/>
            </w:pPr>
            <w:r>
              <w:t>50.00</w:t>
            </w:r>
          </w:p>
        </w:tc>
        <w:tc>
          <w:tcPr>
            <w:tcW w:w="1304" w:type="dxa"/>
            <w:vAlign w:val="center"/>
          </w:tcPr>
          <w:p>
            <w:pPr>
              <w:pStyle w:val="32"/>
            </w:pPr>
            <w:r>
              <w:t>75.00</w:t>
            </w:r>
          </w:p>
        </w:tc>
        <w:tc>
          <w:tcPr>
            <w:tcW w:w="3118" w:type="dxa"/>
            <w:gridSpan w:val="2"/>
            <w:vAlign w:val="center"/>
          </w:tcPr>
          <w:p>
            <w:pPr>
              <w:pStyle w:val="32"/>
            </w:pPr>
            <w:r>
              <w:t>100.00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31"/>
            </w:pPr>
            <w:r>
              <w:t>绩效目标</w:t>
            </w:r>
          </w:p>
        </w:tc>
        <w:tc>
          <w:tcPr>
            <w:tcW w:w="8617" w:type="dxa"/>
            <w:gridSpan w:val="6"/>
            <w:vAlign w:val="center"/>
          </w:tcPr>
          <w:p>
            <w:pPr>
              <w:pStyle w:val="30"/>
            </w:pPr>
            <w:r>
              <w:t>1.目标内容1促进少数民族团结发展</w:t>
            </w:r>
          </w:p>
        </w:tc>
      </w:tr>
    </w:tbl>
    <w:p>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31"/>
            </w:pPr>
            <w:r>
              <w:t>一级指标</w:t>
            </w:r>
          </w:p>
        </w:tc>
        <w:tc>
          <w:tcPr>
            <w:tcW w:w="1276" w:type="dxa"/>
            <w:vAlign w:val="center"/>
          </w:tcPr>
          <w:p>
            <w:pPr>
              <w:pStyle w:val="31"/>
            </w:pPr>
            <w:r>
              <w:t>二级指标</w:t>
            </w:r>
          </w:p>
        </w:tc>
        <w:tc>
          <w:tcPr>
            <w:tcW w:w="1332" w:type="dxa"/>
            <w:vAlign w:val="center"/>
          </w:tcPr>
          <w:p>
            <w:pPr>
              <w:pStyle w:val="31"/>
            </w:pPr>
            <w:r>
              <w:t>三级指标</w:t>
            </w:r>
          </w:p>
        </w:tc>
        <w:tc>
          <w:tcPr>
            <w:tcW w:w="2891" w:type="dxa"/>
            <w:vAlign w:val="center"/>
          </w:tcPr>
          <w:p>
            <w:pPr>
              <w:pStyle w:val="31"/>
            </w:pPr>
            <w:r>
              <w:t>绩效指标描述</w:t>
            </w:r>
          </w:p>
        </w:tc>
        <w:tc>
          <w:tcPr>
            <w:tcW w:w="1276" w:type="dxa"/>
            <w:vAlign w:val="center"/>
          </w:tcPr>
          <w:p>
            <w:pPr>
              <w:pStyle w:val="31"/>
            </w:pPr>
            <w:r>
              <w:t>指标值</w:t>
            </w:r>
          </w:p>
        </w:tc>
        <w:tc>
          <w:tcPr>
            <w:tcW w:w="1843" w:type="dxa"/>
            <w:vAlign w:val="center"/>
          </w:tcPr>
          <w:p>
            <w:pPr>
              <w:pStyle w:val="31"/>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32"/>
            </w:pPr>
            <w:r>
              <w:t>产出指标</w:t>
            </w:r>
          </w:p>
        </w:tc>
        <w:tc>
          <w:tcPr>
            <w:tcW w:w="1276" w:type="dxa"/>
            <w:vAlign w:val="center"/>
          </w:tcPr>
          <w:p>
            <w:pPr>
              <w:pStyle w:val="30"/>
            </w:pPr>
            <w:r>
              <w:t>数量指标</w:t>
            </w:r>
          </w:p>
        </w:tc>
        <w:tc>
          <w:tcPr>
            <w:tcW w:w="1332" w:type="dxa"/>
            <w:vAlign w:val="center"/>
          </w:tcPr>
          <w:p>
            <w:pPr>
              <w:pStyle w:val="30"/>
            </w:pPr>
            <w:r>
              <w:t>少数民族3500人</w:t>
            </w:r>
          </w:p>
        </w:tc>
        <w:tc>
          <w:tcPr>
            <w:tcW w:w="2891" w:type="dxa"/>
            <w:vAlign w:val="center"/>
          </w:tcPr>
          <w:p>
            <w:pPr>
              <w:pStyle w:val="30"/>
            </w:pPr>
            <w:r>
              <w:t>促进少数民族团结发展</w:t>
            </w:r>
          </w:p>
        </w:tc>
        <w:tc>
          <w:tcPr>
            <w:tcW w:w="1276" w:type="dxa"/>
            <w:vAlign w:val="center"/>
          </w:tcPr>
          <w:p>
            <w:pPr>
              <w:pStyle w:val="30"/>
            </w:pPr>
            <w:r>
              <w:t>≥3500人</w:t>
            </w:r>
          </w:p>
        </w:tc>
        <w:tc>
          <w:tcPr>
            <w:tcW w:w="1843" w:type="dxa"/>
            <w:vAlign w:val="center"/>
          </w:tcPr>
          <w:p>
            <w:pPr>
              <w:pStyle w:val="30"/>
            </w:pPr>
            <w:r>
              <w:t>政策支持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30"/>
            </w:pPr>
            <w:r>
              <w:t>数量指标</w:t>
            </w:r>
          </w:p>
        </w:tc>
        <w:tc>
          <w:tcPr>
            <w:tcW w:w="1332" w:type="dxa"/>
            <w:vAlign w:val="center"/>
          </w:tcPr>
          <w:p>
            <w:pPr>
              <w:pStyle w:val="30"/>
            </w:pPr>
            <w:r>
              <w:t>保证专项资金使用</w:t>
            </w:r>
          </w:p>
        </w:tc>
        <w:tc>
          <w:tcPr>
            <w:tcW w:w="2891" w:type="dxa"/>
            <w:vAlign w:val="center"/>
          </w:tcPr>
          <w:p>
            <w:pPr>
              <w:pStyle w:val="30"/>
            </w:pPr>
            <w:r>
              <w:t>促进少数民族团结发展</w:t>
            </w:r>
          </w:p>
        </w:tc>
        <w:tc>
          <w:tcPr>
            <w:tcW w:w="1276" w:type="dxa"/>
            <w:vAlign w:val="center"/>
          </w:tcPr>
          <w:p>
            <w:pPr>
              <w:pStyle w:val="30"/>
            </w:pPr>
            <w:r>
              <w:t>100百分比</w:t>
            </w:r>
          </w:p>
        </w:tc>
        <w:tc>
          <w:tcPr>
            <w:tcW w:w="1843" w:type="dxa"/>
            <w:vAlign w:val="center"/>
          </w:tcPr>
          <w:p>
            <w:pPr>
              <w:pStyle w:val="30"/>
            </w:pPr>
            <w:r>
              <w:t>政策支持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30"/>
            </w:pPr>
            <w:r>
              <w:t>质量指标</w:t>
            </w:r>
          </w:p>
        </w:tc>
        <w:tc>
          <w:tcPr>
            <w:tcW w:w="1332" w:type="dxa"/>
            <w:vAlign w:val="center"/>
          </w:tcPr>
          <w:p>
            <w:pPr>
              <w:pStyle w:val="30"/>
            </w:pPr>
            <w:r>
              <w:t>专项资金使用口径</w:t>
            </w:r>
          </w:p>
        </w:tc>
        <w:tc>
          <w:tcPr>
            <w:tcW w:w="2891" w:type="dxa"/>
            <w:vAlign w:val="center"/>
          </w:tcPr>
          <w:p>
            <w:pPr>
              <w:pStyle w:val="30"/>
            </w:pPr>
            <w:r>
              <w:t>促进少数民族团结发展</w:t>
            </w:r>
          </w:p>
        </w:tc>
        <w:tc>
          <w:tcPr>
            <w:tcW w:w="1276" w:type="dxa"/>
            <w:vAlign w:val="center"/>
          </w:tcPr>
          <w:p>
            <w:pPr>
              <w:pStyle w:val="30"/>
            </w:pPr>
            <w:r>
              <w:t>100百分比</w:t>
            </w:r>
          </w:p>
        </w:tc>
        <w:tc>
          <w:tcPr>
            <w:tcW w:w="1843" w:type="dxa"/>
            <w:vAlign w:val="center"/>
          </w:tcPr>
          <w:p>
            <w:pPr>
              <w:pStyle w:val="30"/>
            </w:pPr>
            <w:r>
              <w:t>政策支持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30"/>
            </w:pPr>
            <w:r>
              <w:t>时效指标</w:t>
            </w:r>
          </w:p>
        </w:tc>
        <w:tc>
          <w:tcPr>
            <w:tcW w:w="1332" w:type="dxa"/>
            <w:vAlign w:val="center"/>
          </w:tcPr>
          <w:p>
            <w:pPr>
              <w:pStyle w:val="30"/>
            </w:pPr>
            <w:r>
              <w:t>资金支出进度</w:t>
            </w:r>
          </w:p>
        </w:tc>
        <w:tc>
          <w:tcPr>
            <w:tcW w:w="2891" w:type="dxa"/>
            <w:vAlign w:val="center"/>
          </w:tcPr>
          <w:p>
            <w:pPr>
              <w:pStyle w:val="30"/>
            </w:pPr>
            <w:r>
              <w:t>促进少数民族团结发展</w:t>
            </w:r>
          </w:p>
        </w:tc>
        <w:tc>
          <w:tcPr>
            <w:tcW w:w="1276" w:type="dxa"/>
            <w:vAlign w:val="center"/>
          </w:tcPr>
          <w:p>
            <w:pPr>
              <w:pStyle w:val="30"/>
            </w:pPr>
            <w:r>
              <w:t>100百分比</w:t>
            </w:r>
          </w:p>
        </w:tc>
        <w:tc>
          <w:tcPr>
            <w:tcW w:w="1843" w:type="dxa"/>
            <w:vAlign w:val="center"/>
          </w:tcPr>
          <w:p>
            <w:pPr>
              <w:pStyle w:val="30"/>
            </w:pPr>
            <w:r>
              <w:t>政策支持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30"/>
            </w:pPr>
            <w:r>
              <w:t>成本指标</w:t>
            </w:r>
          </w:p>
        </w:tc>
        <w:tc>
          <w:tcPr>
            <w:tcW w:w="1332" w:type="dxa"/>
            <w:vAlign w:val="center"/>
          </w:tcPr>
          <w:p>
            <w:pPr>
              <w:pStyle w:val="30"/>
            </w:pPr>
            <w:r>
              <w:t>办公经费保障情况</w:t>
            </w:r>
          </w:p>
        </w:tc>
        <w:tc>
          <w:tcPr>
            <w:tcW w:w="2891" w:type="dxa"/>
            <w:vAlign w:val="center"/>
          </w:tcPr>
          <w:p>
            <w:pPr>
              <w:pStyle w:val="30"/>
            </w:pPr>
            <w:r>
              <w:t>促进少数民族团结发展</w:t>
            </w:r>
          </w:p>
        </w:tc>
        <w:tc>
          <w:tcPr>
            <w:tcW w:w="1276" w:type="dxa"/>
            <w:vAlign w:val="center"/>
          </w:tcPr>
          <w:p>
            <w:pPr>
              <w:pStyle w:val="30"/>
            </w:pPr>
            <w:r>
              <w:t>100百分比</w:t>
            </w:r>
          </w:p>
        </w:tc>
        <w:tc>
          <w:tcPr>
            <w:tcW w:w="1843" w:type="dxa"/>
            <w:vAlign w:val="center"/>
          </w:tcPr>
          <w:p>
            <w:pPr>
              <w:pStyle w:val="30"/>
            </w:pPr>
            <w:r>
              <w:t>政策支持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32"/>
            </w:pPr>
            <w:r>
              <w:t>效益指标</w:t>
            </w:r>
          </w:p>
        </w:tc>
        <w:tc>
          <w:tcPr>
            <w:tcW w:w="1276" w:type="dxa"/>
            <w:vAlign w:val="center"/>
          </w:tcPr>
          <w:p>
            <w:pPr>
              <w:pStyle w:val="30"/>
            </w:pPr>
            <w:r>
              <w:t>社会效益指标</w:t>
            </w:r>
          </w:p>
        </w:tc>
        <w:tc>
          <w:tcPr>
            <w:tcW w:w="1332" w:type="dxa"/>
            <w:vAlign w:val="center"/>
          </w:tcPr>
          <w:p>
            <w:pPr>
              <w:pStyle w:val="30"/>
            </w:pPr>
            <w:r>
              <w:t>满意度</w:t>
            </w:r>
          </w:p>
        </w:tc>
        <w:tc>
          <w:tcPr>
            <w:tcW w:w="2891" w:type="dxa"/>
            <w:vAlign w:val="center"/>
          </w:tcPr>
          <w:p>
            <w:pPr>
              <w:pStyle w:val="30"/>
            </w:pPr>
            <w:r>
              <w:t>促进少数民族团结发展</w:t>
            </w:r>
          </w:p>
        </w:tc>
        <w:tc>
          <w:tcPr>
            <w:tcW w:w="1276" w:type="dxa"/>
            <w:vAlign w:val="center"/>
          </w:tcPr>
          <w:p>
            <w:pPr>
              <w:pStyle w:val="30"/>
            </w:pPr>
            <w:r>
              <w:t>100百分比</w:t>
            </w:r>
          </w:p>
        </w:tc>
        <w:tc>
          <w:tcPr>
            <w:tcW w:w="1843" w:type="dxa"/>
            <w:vAlign w:val="center"/>
          </w:tcPr>
          <w:p>
            <w:pPr>
              <w:pStyle w:val="30"/>
            </w:pPr>
            <w:r>
              <w:t>政策支持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30"/>
            </w:pPr>
            <w:r>
              <w:t>经济效益指标</w:t>
            </w:r>
          </w:p>
        </w:tc>
        <w:tc>
          <w:tcPr>
            <w:tcW w:w="1332" w:type="dxa"/>
            <w:vAlign w:val="center"/>
          </w:tcPr>
          <w:p>
            <w:pPr>
              <w:pStyle w:val="30"/>
            </w:pPr>
            <w:r>
              <w:t>民族村经济发展</w:t>
            </w:r>
          </w:p>
        </w:tc>
        <w:tc>
          <w:tcPr>
            <w:tcW w:w="2891" w:type="dxa"/>
            <w:vAlign w:val="center"/>
          </w:tcPr>
          <w:p>
            <w:pPr>
              <w:pStyle w:val="30"/>
            </w:pPr>
            <w:r>
              <w:t>促进少数民族团结发展</w:t>
            </w:r>
          </w:p>
        </w:tc>
        <w:tc>
          <w:tcPr>
            <w:tcW w:w="1276" w:type="dxa"/>
            <w:vAlign w:val="center"/>
          </w:tcPr>
          <w:p>
            <w:pPr>
              <w:pStyle w:val="30"/>
            </w:pPr>
            <w:r>
              <w:t>100百分比</w:t>
            </w:r>
          </w:p>
        </w:tc>
        <w:tc>
          <w:tcPr>
            <w:tcW w:w="1843" w:type="dxa"/>
            <w:vAlign w:val="center"/>
          </w:tcPr>
          <w:p>
            <w:pPr>
              <w:pStyle w:val="30"/>
            </w:pPr>
            <w:r>
              <w:t>政策支持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30"/>
            </w:pPr>
            <w:r>
              <w:t>生态效益指标</w:t>
            </w:r>
          </w:p>
        </w:tc>
        <w:tc>
          <w:tcPr>
            <w:tcW w:w="1332" w:type="dxa"/>
            <w:vAlign w:val="center"/>
          </w:tcPr>
          <w:p>
            <w:pPr>
              <w:pStyle w:val="30"/>
            </w:pPr>
            <w:r>
              <w:t>环境卫生达标率</w:t>
            </w:r>
          </w:p>
        </w:tc>
        <w:tc>
          <w:tcPr>
            <w:tcW w:w="2891" w:type="dxa"/>
            <w:vAlign w:val="center"/>
          </w:tcPr>
          <w:p>
            <w:pPr>
              <w:pStyle w:val="30"/>
            </w:pPr>
            <w:r>
              <w:t>促进少数民族团结发展</w:t>
            </w:r>
          </w:p>
        </w:tc>
        <w:tc>
          <w:tcPr>
            <w:tcW w:w="1276" w:type="dxa"/>
            <w:vAlign w:val="center"/>
          </w:tcPr>
          <w:p>
            <w:pPr>
              <w:pStyle w:val="30"/>
            </w:pPr>
            <w:r>
              <w:t>100百分比</w:t>
            </w:r>
          </w:p>
        </w:tc>
        <w:tc>
          <w:tcPr>
            <w:tcW w:w="1843" w:type="dxa"/>
            <w:vAlign w:val="center"/>
          </w:tcPr>
          <w:p>
            <w:pPr>
              <w:pStyle w:val="30"/>
            </w:pPr>
            <w:r>
              <w:t>政策支持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30"/>
            </w:pPr>
            <w:r>
              <w:t>可持续影响指标</w:t>
            </w:r>
          </w:p>
        </w:tc>
        <w:tc>
          <w:tcPr>
            <w:tcW w:w="1332" w:type="dxa"/>
            <w:vAlign w:val="center"/>
          </w:tcPr>
          <w:p>
            <w:pPr>
              <w:pStyle w:val="30"/>
            </w:pPr>
            <w:r>
              <w:t>严格按照现行政策执行</w:t>
            </w:r>
          </w:p>
        </w:tc>
        <w:tc>
          <w:tcPr>
            <w:tcW w:w="2891" w:type="dxa"/>
            <w:vAlign w:val="center"/>
          </w:tcPr>
          <w:p>
            <w:pPr>
              <w:pStyle w:val="30"/>
            </w:pPr>
            <w:r>
              <w:t>促进少数民族团结发展</w:t>
            </w:r>
          </w:p>
        </w:tc>
        <w:tc>
          <w:tcPr>
            <w:tcW w:w="1276" w:type="dxa"/>
            <w:vAlign w:val="center"/>
          </w:tcPr>
          <w:p>
            <w:pPr>
              <w:pStyle w:val="30"/>
            </w:pPr>
            <w:r>
              <w:t>100百分比</w:t>
            </w:r>
          </w:p>
        </w:tc>
        <w:tc>
          <w:tcPr>
            <w:tcW w:w="1843" w:type="dxa"/>
            <w:vAlign w:val="center"/>
          </w:tcPr>
          <w:p>
            <w:pPr>
              <w:pStyle w:val="30"/>
            </w:pPr>
            <w:r>
              <w:t>政策支持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32"/>
            </w:pPr>
            <w:r>
              <w:t>满意度指标</w:t>
            </w:r>
          </w:p>
        </w:tc>
        <w:tc>
          <w:tcPr>
            <w:tcW w:w="1276" w:type="dxa"/>
            <w:vAlign w:val="center"/>
          </w:tcPr>
          <w:p>
            <w:pPr>
              <w:pStyle w:val="30"/>
            </w:pPr>
            <w:r>
              <w:t>服务对象满意度指标</w:t>
            </w:r>
          </w:p>
        </w:tc>
        <w:tc>
          <w:tcPr>
            <w:tcW w:w="1332" w:type="dxa"/>
            <w:vAlign w:val="center"/>
          </w:tcPr>
          <w:p>
            <w:pPr>
              <w:pStyle w:val="30"/>
            </w:pPr>
            <w:r>
              <w:t>少数民族满意度</w:t>
            </w:r>
          </w:p>
        </w:tc>
        <w:tc>
          <w:tcPr>
            <w:tcW w:w="2891" w:type="dxa"/>
            <w:vAlign w:val="center"/>
          </w:tcPr>
          <w:p>
            <w:pPr>
              <w:pStyle w:val="30"/>
            </w:pPr>
            <w:r>
              <w:t>促进少数民族团结发展</w:t>
            </w:r>
          </w:p>
        </w:tc>
        <w:tc>
          <w:tcPr>
            <w:tcW w:w="1276" w:type="dxa"/>
            <w:vAlign w:val="center"/>
          </w:tcPr>
          <w:p>
            <w:pPr>
              <w:pStyle w:val="30"/>
            </w:pPr>
            <w:r>
              <w:t>100百分比</w:t>
            </w:r>
          </w:p>
        </w:tc>
        <w:tc>
          <w:tcPr>
            <w:tcW w:w="1843" w:type="dxa"/>
            <w:vAlign w:val="center"/>
          </w:tcPr>
          <w:p>
            <w:pPr>
              <w:pStyle w:val="30"/>
            </w:pPr>
            <w:r>
              <w:t>政策支持</w:t>
            </w:r>
          </w:p>
        </w:tc>
      </w:tr>
    </w:tbl>
    <w:p>
      <w:pPr>
        <w:sectPr>
          <w:pgSz w:w="11900" w:h="16840"/>
          <w:pgMar w:top="1984" w:right="1304" w:bottom="1134" w:left="1304" w:header="720" w:footer="720" w:gutter="0"/>
          <w:cols w:space="720" w:num="1"/>
        </w:sectPr>
      </w:pPr>
    </w:p>
    <w:p>
      <w:pPr>
        <w:jc w:val="center"/>
      </w:pPr>
    </w:p>
    <w:p>
      <w:pPr>
        <w:ind w:firstLine="560"/>
        <w:outlineLvl w:val="3"/>
      </w:pPr>
      <w:bookmarkStart w:id="7" w:name="_Toc_4_4_0000000009"/>
      <w:r>
        <w:rPr>
          <w:rFonts w:ascii="方正仿宋_GBK" w:hAnsi="方正仿宋_GBK" w:eastAsia="方正仿宋_GBK" w:cs="方正仿宋_GBK"/>
          <w:color w:val="000000"/>
          <w:sz w:val="28"/>
        </w:rPr>
        <w:t>6.大围河乡幼儿园运转经费绩效目标表</w:t>
      </w:r>
      <w:bookmarkEnd w:id="7"/>
    </w:p>
    <w:tbl>
      <w:tblPr>
        <w:tblStyle w:val="11"/>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29"/>
            </w:pPr>
            <w:r>
              <w:t>206001文安县大围河乡人民政府党政综合办公室本级</w:t>
            </w:r>
          </w:p>
        </w:tc>
        <w:tc>
          <w:tcPr>
            <w:tcW w:w="1843" w:type="dxa"/>
            <w:tcBorders>
              <w:top w:val="single" w:color="FFFFFF" w:sz="6" w:space="0"/>
              <w:left w:val="single" w:color="FFFFFF" w:sz="6" w:space="0"/>
              <w:right w:val="single" w:color="FFFFFF" w:sz="6" w:space="0"/>
            </w:tcBorders>
            <w:vAlign w:val="center"/>
          </w:tcPr>
          <w:p>
            <w:pPr>
              <w:pStyle w:val="28"/>
            </w:pPr>
            <w:r>
              <w:t>单位：元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31"/>
            </w:pPr>
            <w:r>
              <w:t>项目编码</w:t>
            </w:r>
          </w:p>
        </w:tc>
        <w:tc>
          <w:tcPr>
            <w:tcW w:w="2608" w:type="dxa"/>
            <w:gridSpan w:val="2"/>
            <w:vAlign w:val="center"/>
          </w:tcPr>
          <w:p>
            <w:pPr>
              <w:pStyle w:val="30"/>
            </w:pPr>
            <w:r>
              <w:t>13102623P00237613517H</w:t>
            </w:r>
          </w:p>
        </w:tc>
        <w:tc>
          <w:tcPr>
            <w:tcW w:w="1587" w:type="dxa"/>
            <w:vAlign w:val="center"/>
          </w:tcPr>
          <w:p>
            <w:pPr>
              <w:pStyle w:val="31"/>
            </w:pPr>
            <w:r>
              <w:t>项目名称</w:t>
            </w:r>
          </w:p>
        </w:tc>
        <w:tc>
          <w:tcPr>
            <w:tcW w:w="4422" w:type="dxa"/>
            <w:gridSpan w:val="3"/>
            <w:vAlign w:val="center"/>
          </w:tcPr>
          <w:p>
            <w:pPr>
              <w:pStyle w:val="30"/>
            </w:pPr>
            <w:r>
              <w:t>大围河乡幼儿园运转经费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31"/>
            </w:pPr>
            <w:r>
              <w:t>预算规模及资金用途</w:t>
            </w:r>
          </w:p>
        </w:tc>
        <w:tc>
          <w:tcPr>
            <w:tcW w:w="1276" w:type="dxa"/>
            <w:vAlign w:val="center"/>
          </w:tcPr>
          <w:p>
            <w:pPr>
              <w:pStyle w:val="31"/>
            </w:pPr>
            <w:r>
              <w:t>预算数</w:t>
            </w:r>
          </w:p>
        </w:tc>
        <w:tc>
          <w:tcPr>
            <w:tcW w:w="1332" w:type="dxa"/>
            <w:vAlign w:val="center"/>
          </w:tcPr>
          <w:p>
            <w:pPr>
              <w:pStyle w:val="30"/>
            </w:pPr>
            <w:r>
              <w:t>280000.00</w:t>
            </w:r>
          </w:p>
        </w:tc>
        <w:tc>
          <w:tcPr>
            <w:tcW w:w="1587" w:type="dxa"/>
            <w:vAlign w:val="center"/>
          </w:tcPr>
          <w:p>
            <w:pPr>
              <w:pStyle w:val="31"/>
            </w:pPr>
            <w:r>
              <w:t>其中：财政    资金</w:t>
            </w:r>
          </w:p>
        </w:tc>
        <w:tc>
          <w:tcPr>
            <w:tcW w:w="1304" w:type="dxa"/>
            <w:vAlign w:val="center"/>
          </w:tcPr>
          <w:p>
            <w:pPr>
              <w:pStyle w:val="30"/>
            </w:pPr>
            <w:r>
              <w:t>280000.00</w:t>
            </w:r>
          </w:p>
        </w:tc>
        <w:tc>
          <w:tcPr>
            <w:tcW w:w="1276" w:type="dxa"/>
            <w:vAlign w:val="center"/>
          </w:tcPr>
          <w:p>
            <w:pPr>
              <w:pStyle w:val="31"/>
            </w:pPr>
            <w:r>
              <w:t>其他资金</w:t>
            </w:r>
          </w:p>
        </w:tc>
        <w:tc>
          <w:tcPr>
            <w:tcW w:w="1843" w:type="dxa"/>
            <w:vAlign w:val="center"/>
          </w:tcPr>
          <w:p>
            <w:pPr>
              <w:pStyle w:val="30"/>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30"/>
            </w:pPr>
            <w:r>
              <w:t>为进一步规范我乡公办幼儿园收费行为，促进学前教育健康有序发展，改善办园条件，提高师资素质，提高保教质量，认真贯彻《幼儿园管理条例》和《幼儿园工作规程》，全面落实《幼儿园教育指导纲要（试行）》，以素质教育为核心，办好符合幼教规律的、让人民群众满意的幼儿园。</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31"/>
            </w:pPr>
            <w:r>
              <w:t>资金支出计划（%）</w:t>
            </w:r>
          </w:p>
        </w:tc>
        <w:tc>
          <w:tcPr>
            <w:tcW w:w="2608" w:type="dxa"/>
            <w:gridSpan w:val="2"/>
            <w:vAlign w:val="center"/>
          </w:tcPr>
          <w:p>
            <w:pPr>
              <w:pStyle w:val="31"/>
            </w:pPr>
            <w:r>
              <w:t>3月底</w:t>
            </w:r>
          </w:p>
        </w:tc>
        <w:tc>
          <w:tcPr>
            <w:tcW w:w="1587" w:type="dxa"/>
            <w:vAlign w:val="center"/>
          </w:tcPr>
          <w:p>
            <w:pPr>
              <w:pStyle w:val="31"/>
            </w:pPr>
            <w:r>
              <w:t>6月底</w:t>
            </w:r>
          </w:p>
        </w:tc>
        <w:tc>
          <w:tcPr>
            <w:tcW w:w="1304" w:type="dxa"/>
            <w:vAlign w:val="center"/>
          </w:tcPr>
          <w:p>
            <w:pPr>
              <w:pStyle w:val="31"/>
            </w:pPr>
            <w:r>
              <w:t>10月底</w:t>
            </w:r>
          </w:p>
        </w:tc>
        <w:tc>
          <w:tcPr>
            <w:tcW w:w="3118" w:type="dxa"/>
            <w:gridSpan w:val="2"/>
            <w:vAlign w:val="center"/>
          </w:tcPr>
          <w:p>
            <w:pPr>
              <w:pStyle w:val="31"/>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32"/>
            </w:pPr>
            <w:r>
              <w:t>25.00</w:t>
            </w:r>
          </w:p>
        </w:tc>
        <w:tc>
          <w:tcPr>
            <w:tcW w:w="1587" w:type="dxa"/>
            <w:vAlign w:val="center"/>
          </w:tcPr>
          <w:p>
            <w:pPr>
              <w:pStyle w:val="32"/>
            </w:pPr>
            <w:r>
              <w:t>50.00</w:t>
            </w:r>
          </w:p>
        </w:tc>
        <w:tc>
          <w:tcPr>
            <w:tcW w:w="1304" w:type="dxa"/>
            <w:vAlign w:val="center"/>
          </w:tcPr>
          <w:p>
            <w:pPr>
              <w:pStyle w:val="32"/>
            </w:pPr>
            <w:r>
              <w:t>75.00</w:t>
            </w:r>
          </w:p>
        </w:tc>
        <w:tc>
          <w:tcPr>
            <w:tcW w:w="3118" w:type="dxa"/>
            <w:gridSpan w:val="2"/>
            <w:vAlign w:val="center"/>
          </w:tcPr>
          <w:p>
            <w:pPr>
              <w:pStyle w:val="32"/>
            </w:pPr>
            <w:r>
              <w:t>100.00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31"/>
            </w:pPr>
            <w:r>
              <w:t>绩效目标</w:t>
            </w:r>
          </w:p>
        </w:tc>
        <w:tc>
          <w:tcPr>
            <w:tcW w:w="8617" w:type="dxa"/>
            <w:gridSpan w:val="6"/>
            <w:vAlign w:val="center"/>
          </w:tcPr>
          <w:p>
            <w:pPr>
              <w:pStyle w:val="30"/>
            </w:pPr>
            <w:r>
              <w:t>1.改善教育环境、，以推动义务教育持续、均衡发展为目标，以增强教师爱岗敬业的积极性为导向建立健全教育规律、有利于孩子成长、完善的学校及教职工考核制度，促进教育事业健康、合理、有序发展。</w:t>
            </w:r>
            <w:r>
              <w:tab/>
            </w:r>
            <w:r>
              <w:tab/>
            </w:r>
            <w:r>
              <w:tab/>
            </w:r>
            <w:r>
              <w:tab/>
            </w:r>
            <w:r>
              <w:tab/>
            </w:r>
            <w:r>
              <w:tab/>
            </w:r>
          </w:p>
          <w:p>
            <w:pPr>
              <w:pStyle w:val="30"/>
            </w:pPr>
          </w:p>
        </w:tc>
      </w:tr>
    </w:tbl>
    <w:p>
      <w:pPr>
        <w:spacing w:line="2" w:lineRule="exact"/>
        <w:jc w:val="cente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31"/>
            </w:pPr>
            <w:r>
              <w:t>一级指标</w:t>
            </w:r>
          </w:p>
        </w:tc>
        <w:tc>
          <w:tcPr>
            <w:tcW w:w="1276" w:type="dxa"/>
            <w:vAlign w:val="center"/>
          </w:tcPr>
          <w:p>
            <w:pPr>
              <w:pStyle w:val="31"/>
            </w:pPr>
            <w:r>
              <w:t>二级指标</w:t>
            </w:r>
          </w:p>
        </w:tc>
        <w:tc>
          <w:tcPr>
            <w:tcW w:w="1332" w:type="dxa"/>
            <w:vAlign w:val="center"/>
          </w:tcPr>
          <w:p>
            <w:pPr>
              <w:pStyle w:val="31"/>
            </w:pPr>
            <w:r>
              <w:t>三级指标</w:t>
            </w:r>
          </w:p>
        </w:tc>
        <w:tc>
          <w:tcPr>
            <w:tcW w:w="2891" w:type="dxa"/>
            <w:vAlign w:val="center"/>
          </w:tcPr>
          <w:p>
            <w:pPr>
              <w:pStyle w:val="31"/>
            </w:pPr>
            <w:r>
              <w:t>绩效指标描述</w:t>
            </w:r>
          </w:p>
        </w:tc>
        <w:tc>
          <w:tcPr>
            <w:tcW w:w="1276" w:type="dxa"/>
            <w:vAlign w:val="center"/>
          </w:tcPr>
          <w:p>
            <w:pPr>
              <w:pStyle w:val="31"/>
            </w:pPr>
            <w:r>
              <w:t>指标值</w:t>
            </w:r>
          </w:p>
        </w:tc>
        <w:tc>
          <w:tcPr>
            <w:tcW w:w="1843" w:type="dxa"/>
            <w:vAlign w:val="center"/>
          </w:tcPr>
          <w:p>
            <w:pPr>
              <w:pStyle w:val="31"/>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32"/>
            </w:pPr>
            <w:r>
              <w:t>产出指标</w:t>
            </w:r>
          </w:p>
        </w:tc>
        <w:tc>
          <w:tcPr>
            <w:tcW w:w="1276" w:type="dxa"/>
            <w:vAlign w:val="center"/>
          </w:tcPr>
          <w:p>
            <w:pPr>
              <w:pStyle w:val="30"/>
            </w:pPr>
            <w:r>
              <w:t>数量指标</w:t>
            </w:r>
          </w:p>
        </w:tc>
        <w:tc>
          <w:tcPr>
            <w:tcW w:w="1332" w:type="dxa"/>
            <w:vAlign w:val="center"/>
          </w:tcPr>
          <w:p>
            <w:pPr>
              <w:pStyle w:val="30"/>
            </w:pPr>
            <w:r>
              <w:t>保证幼儿园学生360人</w:t>
            </w:r>
          </w:p>
          <w:p>
            <w:pPr>
              <w:pStyle w:val="30"/>
            </w:pPr>
          </w:p>
        </w:tc>
        <w:tc>
          <w:tcPr>
            <w:tcW w:w="2891" w:type="dxa"/>
            <w:vAlign w:val="center"/>
          </w:tcPr>
          <w:p>
            <w:pPr>
              <w:pStyle w:val="30"/>
            </w:pPr>
            <w:r>
              <w:t>达到规定人数、家长满意</w:t>
            </w:r>
          </w:p>
        </w:tc>
        <w:tc>
          <w:tcPr>
            <w:tcW w:w="1276" w:type="dxa"/>
            <w:vAlign w:val="center"/>
          </w:tcPr>
          <w:p>
            <w:pPr>
              <w:pStyle w:val="30"/>
            </w:pPr>
            <w:r>
              <w:t>≥360人</w:t>
            </w:r>
          </w:p>
        </w:tc>
        <w:tc>
          <w:tcPr>
            <w:tcW w:w="1843" w:type="dxa"/>
            <w:vAlign w:val="center"/>
          </w:tcPr>
          <w:p>
            <w:pPr>
              <w:pStyle w:val="30"/>
            </w:pPr>
            <w:r>
              <w:t>根据《河北省幼儿园收费管理暂行办法实施细则》（冀价行费字〔2014〕25号）的有关规定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30"/>
            </w:pPr>
            <w:r>
              <w:t>数量指标</w:t>
            </w:r>
          </w:p>
        </w:tc>
        <w:tc>
          <w:tcPr>
            <w:tcW w:w="1332" w:type="dxa"/>
            <w:vAlign w:val="center"/>
          </w:tcPr>
          <w:p>
            <w:pPr>
              <w:pStyle w:val="30"/>
            </w:pPr>
            <w:r>
              <w:t>保障幼儿园教师工资的正常发放和幼儿教育的正常运转</w:t>
            </w:r>
          </w:p>
        </w:tc>
        <w:tc>
          <w:tcPr>
            <w:tcW w:w="2891" w:type="dxa"/>
            <w:vAlign w:val="center"/>
          </w:tcPr>
          <w:p>
            <w:pPr>
              <w:pStyle w:val="30"/>
            </w:pPr>
            <w:r>
              <w:t>全额保障教师工资发放做到无拖欠和幼儿园基本运转经费的需要</w:t>
            </w:r>
          </w:p>
        </w:tc>
        <w:tc>
          <w:tcPr>
            <w:tcW w:w="1276" w:type="dxa"/>
            <w:vAlign w:val="center"/>
          </w:tcPr>
          <w:p>
            <w:pPr>
              <w:pStyle w:val="30"/>
            </w:pPr>
            <w:r>
              <w:t>100按时发放各项工资及幼儿教育的正常运转</w:t>
            </w:r>
          </w:p>
        </w:tc>
        <w:tc>
          <w:tcPr>
            <w:tcW w:w="1843" w:type="dxa"/>
            <w:vAlign w:val="center"/>
          </w:tcPr>
          <w:p>
            <w:pPr>
              <w:pStyle w:val="30"/>
            </w:pPr>
            <w:r>
              <w:t>根据《河北省幼儿园收费管理暂行办法实施细则》（冀价行费字〔2014〕25号）的有关规定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30"/>
            </w:pPr>
            <w:r>
              <w:t>质量指标</w:t>
            </w:r>
          </w:p>
        </w:tc>
        <w:tc>
          <w:tcPr>
            <w:tcW w:w="1332" w:type="dxa"/>
            <w:vAlign w:val="center"/>
          </w:tcPr>
          <w:p>
            <w:pPr>
              <w:pStyle w:val="30"/>
            </w:pPr>
            <w:r>
              <w:t>教学水平提高率</w:t>
            </w:r>
          </w:p>
        </w:tc>
        <w:tc>
          <w:tcPr>
            <w:tcW w:w="2891" w:type="dxa"/>
            <w:vAlign w:val="center"/>
          </w:tcPr>
          <w:p>
            <w:pPr>
              <w:pStyle w:val="30"/>
            </w:pPr>
            <w:r>
              <w:t>教育理论学习，课程教材改革，符合实际，微调、有序过度的原则，达到德、智、体、美、劳全面发展。</w:t>
            </w:r>
          </w:p>
        </w:tc>
        <w:tc>
          <w:tcPr>
            <w:tcW w:w="1276" w:type="dxa"/>
            <w:vAlign w:val="center"/>
          </w:tcPr>
          <w:p>
            <w:pPr>
              <w:pStyle w:val="30"/>
            </w:pPr>
            <w:r>
              <w:t>≥90保障理论学习与程程教材符合幼儿教育，办好符合幼教规律幼儿园</w:t>
            </w:r>
          </w:p>
        </w:tc>
        <w:tc>
          <w:tcPr>
            <w:tcW w:w="1843" w:type="dxa"/>
            <w:vAlign w:val="center"/>
          </w:tcPr>
          <w:p>
            <w:pPr>
              <w:pStyle w:val="30"/>
            </w:pPr>
            <w:r>
              <w:t>根据《河北省幼儿园收费管理暂行办法实施细则》（冀价行费字〔2014〕25号）的有关规定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30"/>
            </w:pPr>
            <w:r>
              <w:t>时效指标</w:t>
            </w:r>
          </w:p>
        </w:tc>
        <w:tc>
          <w:tcPr>
            <w:tcW w:w="1332" w:type="dxa"/>
            <w:vAlign w:val="center"/>
          </w:tcPr>
          <w:p>
            <w:pPr>
              <w:pStyle w:val="30"/>
            </w:pPr>
            <w:r>
              <w:t>信息的反馈率</w:t>
            </w:r>
          </w:p>
        </w:tc>
        <w:tc>
          <w:tcPr>
            <w:tcW w:w="2891" w:type="dxa"/>
            <w:vAlign w:val="center"/>
          </w:tcPr>
          <w:p>
            <w:pPr>
              <w:pStyle w:val="30"/>
            </w:pPr>
            <w:r>
              <w:t>设立家长意见邮箱，让家长写幼儿园意见，及时反馈及公开</w:t>
            </w:r>
          </w:p>
        </w:tc>
        <w:tc>
          <w:tcPr>
            <w:tcW w:w="1276" w:type="dxa"/>
            <w:vAlign w:val="center"/>
          </w:tcPr>
          <w:p>
            <w:pPr>
              <w:pStyle w:val="30"/>
            </w:pPr>
            <w:r>
              <w:t>≥90做好上传下达，及时反馈各项信息</w:t>
            </w:r>
          </w:p>
        </w:tc>
        <w:tc>
          <w:tcPr>
            <w:tcW w:w="1843" w:type="dxa"/>
            <w:vAlign w:val="center"/>
          </w:tcPr>
          <w:p>
            <w:pPr>
              <w:pStyle w:val="30"/>
            </w:pPr>
            <w:r>
              <w:t>根据《河北省幼儿园收费管理暂行办法实施细则》（冀价行费字〔2014〕25号）的有关规定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30"/>
            </w:pPr>
            <w:r>
              <w:t>成本指标</w:t>
            </w:r>
          </w:p>
        </w:tc>
        <w:tc>
          <w:tcPr>
            <w:tcW w:w="1332" w:type="dxa"/>
            <w:vAlign w:val="center"/>
          </w:tcPr>
          <w:p>
            <w:pPr>
              <w:pStyle w:val="30"/>
            </w:pPr>
            <w:r>
              <w:t>办公经费保障情况</w:t>
            </w:r>
          </w:p>
        </w:tc>
        <w:tc>
          <w:tcPr>
            <w:tcW w:w="2891" w:type="dxa"/>
            <w:vAlign w:val="center"/>
          </w:tcPr>
          <w:p>
            <w:pPr>
              <w:pStyle w:val="30"/>
            </w:pPr>
            <w:r>
              <w:t>预算编制坚持“量入为出、收支平衡”的原则，考虑幼儿园事业发展建设项目的需要，坚持“收支两条线”管理原则</w:t>
            </w:r>
          </w:p>
        </w:tc>
        <w:tc>
          <w:tcPr>
            <w:tcW w:w="1276" w:type="dxa"/>
            <w:vAlign w:val="center"/>
          </w:tcPr>
          <w:p>
            <w:pPr>
              <w:pStyle w:val="30"/>
            </w:pPr>
            <w:r>
              <w:t>100保障幼儿园正常运转，办公经费充足</w:t>
            </w:r>
          </w:p>
        </w:tc>
        <w:tc>
          <w:tcPr>
            <w:tcW w:w="1843" w:type="dxa"/>
            <w:vAlign w:val="center"/>
          </w:tcPr>
          <w:p>
            <w:pPr>
              <w:pStyle w:val="30"/>
            </w:pPr>
            <w:r>
              <w:t>根据《河北省幼儿园收费管理暂行办法实施细则》（冀价行费字〔2014〕25号）的有关规定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275" w:hRule="atLeast"/>
          <w:jc w:val="center"/>
        </w:trPr>
        <w:tc>
          <w:tcPr>
            <w:tcW w:w="1276" w:type="dxa"/>
            <w:vMerge w:val="restart"/>
            <w:vAlign w:val="center"/>
          </w:tcPr>
          <w:p>
            <w:pPr>
              <w:pStyle w:val="32"/>
            </w:pPr>
            <w:r>
              <w:t>效益指标</w:t>
            </w:r>
          </w:p>
        </w:tc>
        <w:tc>
          <w:tcPr>
            <w:tcW w:w="1276" w:type="dxa"/>
            <w:vAlign w:val="center"/>
          </w:tcPr>
          <w:p>
            <w:pPr>
              <w:pStyle w:val="30"/>
            </w:pPr>
            <w:r>
              <w:t>社会效益指标</w:t>
            </w:r>
          </w:p>
        </w:tc>
        <w:tc>
          <w:tcPr>
            <w:tcW w:w="1332" w:type="dxa"/>
            <w:vAlign w:val="center"/>
          </w:tcPr>
          <w:p>
            <w:pPr>
              <w:pStyle w:val="30"/>
            </w:pPr>
            <w:r>
              <w:t>教学活动满意度</w:t>
            </w:r>
          </w:p>
        </w:tc>
        <w:tc>
          <w:tcPr>
            <w:tcW w:w="2891" w:type="dxa"/>
            <w:vAlign w:val="center"/>
          </w:tcPr>
          <w:p>
            <w:pPr>
              <w:pStyle w:val="30"/>
            </w:pPr>
            <w:r>
              <w:t>运用多由整体到局部播放动画片的人物形象，请幼儿说出人物名称；以师幼互动影响教学过程；根据教学目标、教学计划，引导主动学习并获得发展的过程</w:t>
            </w:r>
          </w:p>
        </w:tc>
        <w:tc>
          <w:tcPr>
            <w:tcW w:w="1276" w:type="dxa"/>
            <w:vAlign w:val="center"/>
          </w:tcPr>
          <w:p>
            <w:pPr>
              <w:pStyle w:val="30"/>
            </w:pPr>
            <w:r>
              <w:t>≥90保证幼儿的身心健康，培养孩子们的动手劳作技能和集体活动的能力；达到德、智、体、美、劳全面发展</w:t>
            </w:r>
          </w:p>
        </w:tc>
        <w:tc>
          <w:tcPr>
            <w:tcW w:w="1843" w:type="dxa"/>
            <w:vAlign w:val="center"/>
          </w:tcPr>
          <w:p>
            <w:pPr>
              <w:pStyle w:val="30"/>
            </w:pPr>
            <w:r>
              <w:t>根据《河北省幼儿园收费管理暂行办法实施细则》（冀价行费字〔2014〕25号）的有关规定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30"/>
            </w:pPr>
            <w:r>
              <w:t>经济效益指标</w:t>
            </w:r>
          </w:p>
        </w:tc>
        <w:tc>
          <w:tcPr>
            <w:tcW w:w="1332" w:type="dxa"/>
            <w:vAlign w:val="center"/>
          </w:tcPr>
          <w:p>
            <w:pPr>
              <w:pStyle w:val="30"/>
            </w:pPr>
            <w:r>
              <w:t>学龄前幼儿教育的普及率</w:t>
            </w:r>
          </w:p>
        </w:tc>
        <w:tc>
          <w:tcPr>
            <w:tcW w:w="2891" w:type="dxa"/>
            <w:vAlign w:val="center"/>
          </w:tcPr>
          <w:p>
            <w:pPr>
              <w:pStyle w:val="30"/>
            </w:pPr>
            <w:r>
              <w:t>改善教育资源稀缺，提供有力保障，发挥深远社会效益，符合国家及地方教育事业政策发展的方向，达到良好的社会效益</w:t>
            </w:r>
          </w:p>
        </w:tc>
        <w:tc>
          <w:tcPr>
            <w:tcW w:w="1276" w:type="dxa"/>
            <w:vAlign w:val="center"/>
          </w:tcPr>
          <w:p>
            <w:pPr>
              <w:pStyle w:val="30"/>
            </w:pPr>
            <w:r>
              <w:t>≥90提高地方教学能力，提供适龄獐更多接受教育的机会</w:t>
            </w:r>
          </w:p>
        </w:tc>
        <w:tc>
          <w:tcPr>
            <w:tcW w:w="1843" w:type="dxa"/>
            <w:vAlign w:val="center"/>
          </w:tcPr>
          <w:p>
            <w:pPr>
              <w:pStyle w:val="30"/>
            </w:pPr>
            <w:r>
              <w:t>根据《河北省幼儿园收费管理暂行办法实施细则》（冀价行费字〔2014〕25号）的有关规定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30"/>
            </w:pPr>
            <w:r>
              <w:t>生态效益指标</w:t>
            </w:r>
          </w:p>
        </w:tc>
        <w:tc>
          <w:tcPr>
            <w:tcW w:w="1332" w:type="dxa"/>
            <w:vAlign w:val="center"/>
          </w:tcPr>
          <w:p>
            <w:pPr>
              <w:pStyle w:val="30"/>
            </w:pPr>
            <w:r>
              <w:t>环境卫生达标率</w:t>
            </w:r>
          </w:p>
        </w:tc>
        <w:tc>
          <w:tcPr>
            <w:tcW w:w="2891" w:type="dxa"/>
            <w:vAlign w:val="center"/>
          </w:tcPr>
          <w:p>
            <w:pPr>
              <w:pStyle w:val="30"/>
            </w:pPr>
            <w:r>
              <w:t>做到室内整洁、美观、所有墙面按统一规划布置不随意更改，不随意乱扔果壳等杂物，定期消毒；场地做到雨天无积水，绿化到位，教育幼儿不随意摘花草树木、加强爱护绿化教育</w:t>
            </w:r>
          </w:p>
        </w:tc>
        <w:tc>
          <w:tcPr>
            <w:tcW w:w="1276" w:type="dxa"/>
            <w:vAlign w:val="center"/>
          </w:tcPr>
          <w:p>
            <w:pPr>
              <w:pStyle w:val="30"/>
            </w:pPr>
            <w:r>
              <w:t>≥90达到室内整洁，消毒措施完善，院内无杂物，绿化达标</w:t>
            </w:r>
          </w:p>
        </w:tc>
        <w:tc>
          <w:tcPr>
            <w:tcW w:w="1843" w:type="dxa"/>
            <w:vAlign w:val="center"/>
          </w:tcPr>
          <w:p>
            <w:pPr>
              <w:pStyle w:val="30"/>
            </w:pPr>
            <w:r>
              <w:t>根据《河北省幼儿园收费管理暂行办法实施细则》（冀价行费字〔2014〕25号）的有关规定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30"/>
            </w:pPr>
            <w:r>
              <w:t>可持续影响指标</w:t>
            </w:r>
          </w:p>
        </w:tc>
        <w:tc>
          <w:tcPr>
            <w:tcW w:w="1332" w:type="dxa"/>
            <w:vAlign w:val="center"/>
          </w:tcPr>
          <w:p>
            <w:pPr>
              <w:pStyle w:val="30"/>
            </w:pPr>
            <w:r>
              <w:t>严格按照现行政策执行</w:t>
            </w:r>
          </w:p>
        </w:tc>
        <w:tc>
          <w:tcPr>
            <w:tcW w:w="2891" w:type="dxa"/>
            <w:vAlign w:val="center"/>
          </w:tcPr>
          <w:p>
            <w:pPr>
              <w:pStyle w:val="30"/>
            </w:pPr>
            <w:r>
              <w:t>体现政策导向，长期保障工作平稳进行。</w:t>
            </w:r>
          </w:p>
        </w:tc>
        <w:tc>
          <w:tcPr>
            <w:tcW w:w="1276" w:type="dxa"/>
            <w:vAlign w:val="center"/>
          </w:tcPr>
          <w:p>
            <w:pPr>
              <w:pStyle w:val="30"/>
            </w:pPr>
            <w:r>
              <w:t>≥90严格按照各项政策执行</w:t>
            </w:r>
          </w:p>
        </w:tc>
        <w:tc>
          <w:tcPr>
            <w:tcW w:w="1843" w:type="dxa"/>
            <w:vAlign w:val="center"/>
          </w:tcPr>
          <w:p>
            <w:pPr>
              <w:pStyle w:val="30"/>
            </w:pPr>
            <w:r>
              <w:t>根据《河北省幼儿园收费管理暂行办法实施细则》（冀价行费字〔2014〕25号）的有关规定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32"/>
            </w:pPr>
            <w:r>
              <w:t>满意度指标</w:t>
            </w:r>
          </w:p>
        </w:tc>
        <w:tc>
          <w:tcPr>
            <w:tcW w:w="1276" w:type="dxa"/>
            <w:vAlign w:val="center"/>
          </w:tcPr>
          <w:p>
            <w:pPr>
              <w:pStyle w:val="30"/>
            </w:pPr>
            <w:r>
              <w:t>服务对象满意度指标</w:t>
            </w:r>
          </w:p>
        </w:tc>
        <w:tc>
          <w:tcPr>
            <w:tcW w:w="1332" w:type="dxa"/>
            <w:vAlign w:val="center"/>
          </w:tcPr>
          <w:p>
            <w:pPr>
              <w:pStyle w:val="30"/>
            </w:pPr>
            <w:r>
              <w:t>园内生活的满意度</w:t>
            </w:r>
          </w:p>
        </w:tc>
        <w:tc>
          <w:tcPr>
            <w:tcW w:w="2891" w:type="dxa"/>
            <w:vAlign w:val="center"/>
          </w:tcPr>
          <w:p>
            <w:pPr>
              <w:pStyle w:val="30"/>
            </w:pPr>
            <w:r>
              <w:t>幼儿在校期间，尽量让幼儿舒心，吃住达到幼儿及家长满意，做好家长问卷调查</w:t>
            </w:r>
          </w:p>
        </w:tc>
        <w:tc>
          <w:tcPr>
            <w:tcW w:w="1276" w:type="dxa"/>
            <w:vAlign w:val="center"/>
          </w:tcPr>
          <w:p>
            <w:pPr>
              <w:pStyle w:val="30"/>
            </w:pPr>
            <w:r>
              <w:t>≥90达到让家长放心、幼儿舒心</w:t>
            </w:r>
          </w:p>
        </w:tc>
        <w:tc>
          <w:tcPr>
            <w:tcW w:w="1843" w:type="dxa"/>
            <w:vAlign w:val="center"/>
          </w:tcPr>
          <w:p>
            <w:pPr>
              <w:pStyle w:val="30"/>
            </w:pPr>
            <w:r>
              <w:t>根据《河北省幼儿园收费管理暂行办法实施细则》（冀价行费字〔2014〕25号）的有关规定</w:t>
            </w:r>
          </w:p>
        </w:tc>
      </w:tr>
    </w:tbl>
    <w:p/>
    <w:p>
      <w:pPr>
        <w:numPr>
          <w:ilvl w:val="0"/>
          <w:numId w:val="0"/>
        </w:numPr>
        <w:spacing w:line="584" w:lineRule="exact"/>
        <w:rPr>
          <w:rFonts w:hint="eastAsia" w:ascii="Times New Roman" w:hAnsi="黑体" w:eastAsia="黑体"/>
          <w:sz w:val="32"/>
          <w:szCs w:val="32"/>
          <w:lang w:val="en-US" w:eastAsia="zh-CN"/>
        </w:rPr>
      </w:pPr>
    </w:p>
    <w:p>
      <w:pPr>
        <w:numPr>
          <w:ilvl w:val="0"/>
          <w:numId w:val="0"/>
        </w:numPr>
        <w:spacing w:line="584" w:lineRule="exact"/>
        <w:rPr>
          <w:rFonts w:hint="eastAsia" w:ascii="Times New Roman" w:hAnsi="黑体" w:eastAsia="黑体"/>
          <w:sz w:val="32"/>
          <w:szCs w:val="32"/>
          <w:lang w:val="en-US" w:eastAsia="zh-CN"/>
        </w:rPr>
      </w:pPr>
    </w:p>
    <w:p>
      <w:pPr>
        <w:numPr>
          <w:ilvl w:val="0"/>
          <w:numId w:val="0"/>
        </w:numPr>
        <w:spacing w:line="584" w:lineRule="exact"/>
        <w:rPr>
          <w:rFonts w:hint="eastAsia" w:ascii="Times New Roman" w:hAnsi="黑体" w:eastAsia="黑体"/>
          <w:sz w:val="32"/>
          <w:szCs w:val="32"/>
          <w:lang w:val="en-US" w:eastAsia="zh-CN"/>
        </w:rPr>
      </w:pPr>
    </w:p>
    <w:p>
      <w:pPr>
        <w:numPr>
          <w:ilvl w:val="0"/>
          <w:numId w:val="0"/>
        </w:numPr>
        <w:spacing w:line="584" w:lineRule="exact"/>
        <w:rPr>
          <w:rFonts w:hint="eastAsia" w:ascii="Times New Roman" w:hAnsi="黑体" w:eastAsia="黑体"/>
          <w:sz w:val="32"/>
          <w:szCs w:val="32"/>
          <w:lang w:val="en-US" w:eastAsia="zh-CN"/>
        </w:rPr>
      </w:pPr>
    </w:p>
    <w:p>
      <w:pPr>
        <w:numPr>
          <w:ilvl w:val="0"/>
          <w:numId w:val="0"/>
        </w:numPr>
        <w:spacing w:line="584" w:lineRule="exact"/>
        <w:rPr>
          <w:rFonts w:hint="eastAsia" w:ascii="Times New Roman" w:hAnsi="黑体" w:eastAsia="黑体"/>
          <w:sz w:val="32"/>
          <w:szCs w:val="32"/>
          <w:lang w:val="en-US" w:eastAsia="zh-CN"/>
        </w:rPr>
      </w:pPr>
    </w:p>
    <w:p>
      <w:pPr>
        <w:numPr>
          <w:ilvl w:val="0"/>
          <w:numId w:val="0"/>
        </w:numPr>
        <w:spacing w:line="584" w:lineRule="exact"/>
        <w:rPr>
          <w:rFonts w:hint="eastAsia" w:ascii="Times New Roman" w:hAnsi="黑体" w:eastAsia="黑体"/>
          <w:sz w:val="32"/>
          <w:szCs w:val="32"/>
          <w:lang w:val="en-US" w:eastAsia="zh-CN"/>
        </w:rPr>
      </w:pPr>
    </w:p>
    <w:p>
      <w:pPr>
        <w:numPr>
          <w:ilvl w:val="0"/>
          <w:numId w:val="0"/>
        </w:numPr>
        <w:spacing w:line="584" w:lineRule="exact"/>
        <w:rPr>
          <w:rFonts w:hint="eastAsia" w:ascii="Times New Roman" w:hAnsi="黑体" w:eastAsia="黑体"/>
          <w:sz w:val="32"/>
          <w:szCs w:val="32"/>
          <w:lang w:val="en-US" w:eastAsia="zh-CN"/>
        </w:rPr>
      </w:pPr>
    </w:p>
    <w:p>
      <w:pPr>
        <w:ind w:firstLine="361" w:firstLineChars="200"/>
        <w:jc w:val="left"/>
        <w:outlineLvl w:val="1"/>
        <w:rPr>
          <w:rFonts w:ascii="宋体" w:hAnsi="宋体" w:cs="宋体"/>
          <w:b/>
          <w:sz w:val="18"/>
          <w:szCs w:val="18"/>
        </w:rPr>
      </w:pPr>
    </w:p>
    <w:p>
      <w:pPr>
        <w:autoSpaceDE w:val="0"/>
        <w:autoSpaceDN w:val="0"/>
        <w:adjustRightInd w:val="0"/>
        <w:spacing w:line="584" w:lineRule="exact"/>
        <w:ind w:firstLine="640" w:firstLineChars="200"/>
        <w:jc w:val="left"/>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六、政府采购预算情况</w:t>
      </w:r>
    </w:p>
    <w:p>
      <w:pPr>
        <w:spacing w:line="584" w:lineRule="exact"/>
        <w:ind w:firstLine="640" w:firstLineChars="200"/>
        <w:outlineLvl w:val="0"/>
        <w:rPr>
          <w:rFonts w:ascii="Times New Roman" w:hAnsi="Times New Roman" w:eastAsia="仿宋_GB2312"/>
          <w:sz w:val="32"/>
          <w:szCs w:val="24"/>
        </w:rPr>
      </w:pPr>
      <w:bookmarkStart w:id="8" w:name="_Toc471398468"/>
      <w:r>
        <w:rPr>
          <w:rFonts w:ascii="Times New Roman" w:hAnsi="Times New Roman" w:eastAsia="仿宋_GB2312"/>
          <w:sz w:val="32"/>
          <w:szCs w:val="24"/>
        </w:rPr>
        <w:t>202</w:t>
      </w:r>
      <w:r>
        <w:rPr>
          <w:rFonts w:hint="eastAsia" w:ascii="Times New Roman" w:hAnsi="Times New Roman" w:eastAsia="仿宋_GB2312"/>
          <w:sz w:val="32"/>
          <w:szCs w:val="24"/>
          <w:lang w:val="en-US" w:eastAsia="zh-CN"/>
        </w:rPr>
        <w:t>3</w:t>
      </w:r>
      <w:r>
        <w:rPr>
          <w:rFonts w:hint="eastAsia" w:ascii="Times New Roman" w:hAnsi="Times New Roman" w:eastAsia="仿宋_GB2312"/>
          <w:sz w:val="32"/>
          <w:szCs w:val="24"/>
        </w:rPr>
        <w:t>年，我部门安排政府采购预算</w:t>
      </w:r>
      <w:r>
        <w:rPr>
          <w:rFonts w:hint="eastAsia" w:ascii="Times New Roman" w:hAnsi="Times New Roman" w:eastAsia="仿宋_GB2312"/>
          <w:sz w:val="32"/>
          <w:szCs w:val="24"/>
          <w:lang w:val="en-US" w:eastAsia="zh-CN"/>
        </w:rPr>
        <w:t>136</w:t>
      </w:r>
      <w:r>
        <w:rPr>
          <w:rFonts w:hint="eastAsia" w:ascii="Times New Roman" w:hAnsi="Times New Roman" w:eastAsia="仿宋_GB2312"/>
          <w:sz w:val="32"/>
          <w:szCs w:val="24"/>
        </w:rPr>
        <w:t>万元。具体内容见下表。</w:t>
      </w:r>
    </w:p>
    <w:bookmarkEnd w:id="8"/>
    <w:p>
      <w:pPr>
        <w:jc w:val="center"/>
        <w:outlineLvl w:val="1"/>
      </w:pPr>
      <w:bookmarkStart w:id="9" w:name="_Toc_2_2_0000000006"/>
      <w:r>
        <w:rPr>
          <w:rFonts w:ascii="方正小标宋_GBK" w:hAnsi="方正小标宋_GBK" w:eastAsia="方正小标宋_GBK" w:cs="方正小标宋_GBK"/>
          <w:color w:val="000000"/>
          <w:sz w:val="32"/>
        </w:rPr>
        <w:t>部门政府采购预算</w:t>
      </w:r>
      <w:bookmarkEnd w:id="9"/>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276"/>
        <w:gridCol w:w="709"/>
        <w:gridCol w:w="709"/>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34"/>
            </w:pPr>
            <w:r>
              <w:t>206文安县大围河乡人民政府</w:t>
            </w:r>
          </w:p>
        </w:tc>
        <w:tc>
          <w:tcPr>
            <w:tcW w:w="8674" w:type="dxa"/>
            <w:gridSpan w:val="9"/>
            <w:tcBorders>
              <w:top w:val="single" w:color="FFFFFF" w:sz="6" w:space="0"/>
              <w:left w:val="single" w:color="FFFFFF" w:sz="6" w:space="0"/>
              <w:right w:val="single" w:color="FFFFFF" w:sz="6" w:space="0"/>
            </w:tcBorders>
            <w:vAlign w:val="center"/>
          </w:tcPr>
          <w:p>
            <w:pPr>
              <w:pStyle w:val="33"/>
            </w:pPr>
            <w:r>
              <w:t>单位：</w:t>
            </w:r>
            <w:r>
              <w:rPr>
                <w:rFonts w:hint="eastAsia"/>
                <w:lang w:eastAsia="zh-CN"/>
              </w:rPr>
              <w:t>万</w:t>
            </w:r>
            <w:r>
              <w:t>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31"/>
            </w:pPr>
            <w:r>
              <w:t>政府采购项目来源</w:t>
            </w:r>
          </w:p>
        </w:tc>
        <w:tc>
          <w:tcPr>
            <w:tcW w:w="1134" w:type="dxa"/>
            <w:vMerge w:val="restart"/>
            <w:vAlign w:val="center"/>
          </w:tcPr>
          <w:p>
            <w:pPr>
              <w:pStyle w:val="31"/>
            </w:pPr>
            <w:r>
              <w:t>采购物品名称</w:t>
            </w:r>
          </w:p>
        </w:tc>
        <w:tc>
          <w:tcPr>
            <w:tcW w:w="1276" w:type="dxa"/>
            <w:vMerge w:val="restart"/>
            <w:vAlign w:val="center"/>
          </w:tcPr>
          <w:p>
            <w:pPr>
              <w:pStyle w:val="31"/>
            </w:pPr>
            <w:r>
              <w:t>政府采购目录序号</w:t>
            </w:r>
          </w:p>
        </w:tc>
        <w:tc>
          <w:tcPr>
            <w:tcW w:w="709" w:type="dxa"/>
            <w:vMerge w:val="restart"/>
            <w:vAlign w:val="center"/>
          </w:tcPr>
          <w:p>
            <w:pPr>
              <w:pStyle w:val="31"/>
            </w:pPr>
            <w:r>
              <w:t>计量  单位</w:t>
            </w:r>
          </w:p>
        </w:tc>
        <w:tc>
          <w:tcPr>
            <w:tcW w:w="709" w:type="dxa"/>
            <w:vMerge w:val="restart"/>
            <w:vAlign w:val="center"/>
          </w:tcPr>
          <w:p>
            <w:pPr>
              <w:pStyle w:val="31"/>
            </w:pPr>
            <w:r>
              <w:t>数量</w:t>
            </w:r>
          </w:p>
        </w:tc>
        <w:tc>
          <w:tcPr>
            <w:tcW w:w="850" w:type="dxa"/>
            <w:vMerge w:val="restart"/>
            <w:vAlign w:val="center"/>
          </w:tcPr>
          <w:p>
            <w:pPr>
              <w:pStyle w:val="31"/>
            </w:pPr>
            <w:r>
              <w:t>单价</w:t>
            </w:r>
          </w:p>
        </w:tc>
        <w:tc>
          <w:tcPr>
            <w:tcW w:w="7710" w:type="dxa"/>
            <w:gridSpan w:val="8"/>
            <w:vAlign w:val="center"/>
          </w:tcPr>
          <w:p>
            <w:pPr>
              <w:pStyle w:val="31"/>
            </w:pPr>
            <w:r>
              <w:t>政府采购金额（当年部门预算安排资金）</w:t>
            </w:r>
          </w:p>
        </w:tc>
        <w:tc>
          <w:tcPr>
            <w:tcW w:w="964" w:type="dxa"/>
            <w:vMerge w:val="restart"/>
            <w:vAlign w:val="center"/>
          </w:tcPr>
          <w:p>
            <w:pPr>
              <w:pStyle w:val="31"/>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31"/>
            </w:pPr>
            <w:r>
              <w:t>项目名称</w:t>
            </w:r>
          </w:p>
        </w:tc>
        <w:tc>
          <w:tcPr>
            <w:tcW w:w="964" w:type="dxa"/>
            <w:vAlign w:val="center"/>
          </w:tcPr>
          <w:p>
            <w:pPr>
              <w:pStyle w:val="31"/>
            </w:pPr>
            <w:r>
              <w:t>预算    资金</w:t>
            </w:r>
          </w:p>
        </w:tc>
        <w:tc>
          <w:tcPr>
            <w:tcW w:w="1134" w:type="dxa"/>
            <w:vMerge w:val="continue"/>
          </w:tcPr>
          <w:p/>
        </w:tc>
        <w:tc>
          <w:tcPr>
            <w:tcW w:w="1276" w:type="dxa"/>
            <w:vMerge w:val="continue"/>
          </w:tcPr>
          <w:p/>
        </w:tc>
        <w:tc>
          <w:tcPr>
            <w:tcW w:w="709" w:type="dxa"/>
            <w:vMerge w:val="continue"/>
          </w:tcPr>
          <w:p/>
        </w:tc>
        <w:tc>
          <w:tcPr>
            <w:tcW w:w="709" w:type="dxa"/>
            <w:vMerge w:val="continue"/>
          </w:tcPr>
          <w:p/>
        </w:tc>
        <w:tc>
          <w:tcPr>
            <w:tcW w:w="850" w:type="dxa"/>
            <w:vMerge w:val="continue"/>
          </w:tcPr>
          <w:p/>
        </w:tc>
        <w:tc>
          <w:tcPr>
            <w:tcW w:w="964" w:type="dxa"/>
            <w:vAlign w:val="center"/>
          </w:tcPr>
          <w:p>
            <w:pPr>
              <w:pStyle w:val="31"/>
            </w:pPr>
            <w:r>
              <w:t>合计</w:t>
            </w:r>
          </w:p>
        </w:tc>
        <w:tc>
          <w:tcPr>
            <w:tcW w:w="964" w:type="dxa"/>
            <w:vAlign w:val="center"/>
          </w:tcPr>
          <w:p>
            <w:pPr>
              <w:pStyle w:val="31"/>
            </w:pPr>
            <w:r>
              <w:t>一般公共预算拨款</w:t>
            </w:r>
          </w:p>
        </w:tc>
        <w:tc>
          <w:tcPr>
            <w:tcW w:w="964" w:type="dxa"/>
            <w:vAlign w:val="center"/>
          </w:tcPr>
          <w:p>
            <w:pPr>
              <w:pStyle w:val="31"/>
            </w:pPr>
            <w:r>
              <w:t>基金预算拨款</w:t>
            </w:r>
          </w:p>
        </w:tc>
        <w:tc>
          <w:tcPr>
            <w:tcW w:w="964" w:type="dxa"/>
            <w:vAlign w:val="center"/>
          </w:tcPr>
          <w:p>
            <w:pPr>
              <w:pStyle w:val="31"/>
            </w:pPr>
            <w:r>
              <w:t>国有资本经营预算拨款</w:t>
            </w:r>
          </w:p>
        </w:tc>
        <w:tc>
          <w:tcPr>
            <w:tcW w:w="964" w:type="dxa"/>
            <w:vAlign w:val="center"/>
          </w:tcPr>
          <w:p>
            <w:pPr>
              <w:pStyle w:val="31"/>
            </w:pPr>
            <w:r>
              <w:t>财政专户核拨</w:t>
            </w:r>
          </w:p>
        </w:tc>
        <w:tc>
          <w:tcPr>
            <w:tcW w:w="964" w:type="dxa"/>
            <w:vAlign w:val="center"/>
          </w:tcPr>
          <w:p>
            <w:pPr>
              <w:pStyle w:val="31"/>
            </w:pPr>
            <w:r>
              <w:t>单位    资金</w:t>
            </w:r>
          </w:p>
        </w:tc>
        <w:tc>
          <w:tcPr>
            <w:tcW w:w="964" w:type="dxa"/>
            <w:vAlign w:val="center"/>
          </w:tcPr>
          <w:p>
            <w:pPr>
              <w:pStyle w:val="31"/>
            </w:pPr>
            <w:r>
              <w:t>财政拨    款结转</w:t>
            </w:r>
          </w:p>
        </w:tc>
        <w:tc>
          <w:tcPr>
            <w:tcW w:w="964" w:type="dxa"/>
            <w:vAlign w:val="center"/>
          </w:tcPr>
          <w:p>
            <w:pPr>
              <w:pStyle w:val="31"/>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35"/>
            </w:pPr>
            <w:r>
              <w:t>合  计</w:t>
            </w:r>
          </w:p>
        </w:tc>
        <w:tc>
          <w:tcPr>
            <w:tcW w:w="964" w:type="dxa"/>
            <w:vAlign w:val="center"/>
          </w:tcPr>
          <w:p>
            <w:pPr>
              <w:pStyle w:val="36"/>
              <w:rPr>
                <w:rFonts w:hint="default" w:eastAsia="方正书宋_GBK"/>
                <w:lang w:val="en-US" w:eastAsia="zh-CN"/>
              </w:rPr>
            </w:pPr>
            <w:r>
              <w:rPr>
                <w:rFonts w:hint="eastAsia"/>
                <w:lang w:val="en-US" w:eastAsia="zh-CN"/>
              </w:rPr>
              <w:t>136</w:t>
            </w:r>
          </w:p>
        </w:tc>
        <w:tc>
          <w:tcPr>
            <w:tcW w:w="1134" w:type="dxa"/>
            <w:vAlign w:val="center"/>
          </w:tcPr>
          <w:p>
            <w:pPr>
              <w:pStyle w:val="29"/>
            </w:pPr>
          </w:p>
        </w:tc>
        <w:tc>
          <w:tcPr>
            <w:tcW w:w="1276" w:type="dxa"/>
            <w:vAlign w:val="center"/>
          </w:tcPr>
          <w:p>
            <w:pPr>
              <w:pStyle w:val="29"/>
            </w:pPr>
          </w:p>
        </w:tc>
        <w:tc>
          <w:tcPr>
            <w:tcW w:w="709" w:type="dxa"/>
            <w:vAlign w:val="center"/>
          </w:tcPr>
          <w:p>
            <w:pPr>
              <w:pStyle w:val="35"/>
            </w:pPr>
          </w:p>
        </w:tc>
        <w:tc>
          <w:tcPr>
            <w:tcW w:w="709" w:type="dxa"/>
            <w:vAlign w:val="center"/>
          </w:tcPr>
          <w:p>
            <w:pPr>
              <w:pStyle w:val="36"/>
            </w:pPr>
          </w:p>
        </w:tc>
        <w:tc>
          <w:tcPr>
            <w:tcW w:w="850" w:type="dxa"/>
            <w:vAlign w:val="center"/>
          </w:tcPr>
          <w:p>
            <w:pPr>
              <w:pStyle w:val="36"/>
            </w:pPr>
          </w:p>
        </w:tc>
        <w:tc>
          <w:tcPr>
            <w:tcW w:w="964" w:type="dxa"/>
            <w:vAlign w:val="center"/>
          </w:tcPr>
          <w:p>
            <w:pPr>
              <w:pStyle w:val="36"/>
              <w:rPr>
                <w:rFonts w:hint="default" w:eastAsia="方正书宋_GBK"/>
                <w:lang w:val="en-US" w:eastAsia="zh-CN"/>
              </w:rPr>
            </w:pPr>
            <w:r>
              <w:rPr>
                <w:rFonts w:hint="eastAsia"/>
                <w:lang w:val="en-US" w:eastAsia="zh-CN"/>
              </w:rPr>
              <w:t>136</w:t>
            </w:r>
          </w:p>
        </w:tc>
        <w:tc>
          <w:tcPr>
            <w:tcW w:w="964" w:type="dxa"/>
            <w:vAlign w:val="center"/>
          </w:tcPr>
          <w:p>
            <w:pPr>
              <w:pStyle w:val="36"/>
              <w:rPr>
                <w:rFonts w:hint="default" w:eastAsia="方正书宋_GBK"/>
                <w:lang w:val="en-US" w:eastAsia="zh-CN"/>
              </w:rPr>
            </w:pPr>
            <w:r>
              <w:rPr>
                <w:rFonts w:hint="eastAsia"/>
                <w:lang w:val="en-US" w:eastAsia="zh-CN"/>
              </w:rPr>
              <w:t>136</w:t>
            </w:r>
          </w:p>
        </w:tc>
        <w:tc>
          <w:tcPr>
            <w:tcW w:w="964" w:type="dxa"/>
            <w:vAlign w:val="center"/>
          </w:tcPr>
          <w:p>
            <w:pPr>
              <w:pStyle w:val="36"/>
            </w:pPr>
          </w:p>
        </w:tc>
        <w:tc>
          <w:tcPr>
            <w:tcW w:w="964" w:type="dxa"/>
            <w:vAlign w:val="center"/>
          </w:tcPr>
          <w:p>
            <w:pPr>
              <w:pStyle w:val="36"/>
            </w:pPr>
          </w:p>
        </w:tc>
        <w:tc>
          <w:tcPr>
            <w:tcW w:w="964" w:type="dxa"/>
            <w:vAlign w:val="center"/>
          </w:tcPr>
          <w:p>
            <w:pPr>
              <w:pStyle w:val="36"/>
            </w:pPr>
          </w:p>
        </w:tc>
        <w:tc>
          <w:tcPr>
            <w:tcW w:w="964" w:type="dxa"/>
            <w:vAlign w:val="center"/>
          </w:tcPr>
          <w:p>
            <w:pPr>
              <w:pStyle w:val="36"/>
            </w:pPr>
          </w:p>
        </w:tc>
        <w:tc>
          <w:tcPr>
            <w:tcW w:w="964" w:type="dxa"/>
            <w:vAlign w:val="center"/>
          </w:tcPr>
          <w:p>
            <w:pPr>
              <w:pStyle w:val="36"/>
            </w:pPr>
          </w:p>
        </w:tc>
        <w:tc>
          <w:tcPr>
            <w:tcW w:w="964" w:type="dxa"/>
            <w:vAlign w:val="center"/>
          </w:tcPr>
          <w:p>
            <w:pPr>
              <w:pStyle w:val="36"/>
            </w:pPr>
          </w:p>
        </w:tc>
        <w:tc>
          <w:tcPr>
            <w:tcW w:w="964" w:type="dxa"/>
            <w:vAlign w:val="center"/>
          </w:tcPr>
          <w:p>
            <w:pPr>
              <w:pStyle w:val="36"/>
              <w:rPr>
                <w:rFonts w:hint="default" w:eastAsia="方正书宋_GBK"/>
                <w:lang w:val="en-US" w:eastAsia="zh-CN"/>
              </w:rPr>
            </w:pPr>
            <w:r>
              <w:rPr>
                <w:rFonts w:hint="eastAsia"/>
                <w:lang w:val="en-US" w:eastAsia="zh-CN"/>
              </w:rPr>
              <w:t>136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35"/>
            </w:pPr>
            <w:r>
              <w:t>文安县大围河乡人民政府党政综合办公室本级小计</w:t>
            </w:r>
          </w:p>
        </w:tc>
        <w:tc>
          <w:tcPr>
            <w:tcW w:w="964" w:type="dxa"/>
            <w:vAlign w:val="center"/>
          </w:tcPr>
          <w:p>
            <w:pPr>
              <w:pStyle w:val="36"/>
              <w:rPr>
                <w:rFonts w:hint="default" w:eastAsia="方正书宋_GBK"/>
                <w:lang w:val="en-US" w:eastAsia="zh-CN"/>
              </w:rPr>
            </w:pPr>
            <w:r>
              <w:rPr>
                <w:rFonts w:hint="eastAsia"/>
                <w:lang w:val="en-US" w:eastAsia="zh-CN"/>
              </w:rPr>
              <w:t>136</w:t>
            </w:r>
          </w:p>
        </w:tc>
        <w:tc>
          <w:tcPr>
            <w:tcW w:w="1134" w:type="dxa"/>
            <w:vAlign w:val="center"/>
          </w:tcPr>
          <w:p>
            <w:pPr>
              <w:pStyle w:val="29"/>
            </w:pPr>
          </w:p>
        </w:tc>
        <w:tc>
          <w:tcPr>
            <w:tcW w:w="1276" w:type="dxa"/>
            <w:vAlign w:val="center"/>
          </w:tcPr>
          <w:p>
            <w:pPr>
              <w:pStyle w:val="29"/>
            </w:pPr>
          </w:p>
        </w:tc>
        <w:tc>
          <w:tcPr>
            <w:tcW w:w="709" w:type="dxa"/>
            <w:vAlign w:val="center"/>
          </w:tcPr>
          <w:p>
            <w:pPr>
              <w:pStyle w:val="35"/>
            </w:pPr>
          </w:p>
        </w:tc>
        <w:tc>
          <w:tcPr>
            <w:tcW w:w="709" w:type="dxa"/>
            <w:vAlign w:val="center"/>
          </w:tcPr>
          <w:p>
            <w:pPr>
              <w:pStyle w:val="36"/>
            </w:pPr>
          </w:p>
        </w:tc>
        <w:tc>
          <w:tcPr>
            <w:tcW w:w="850" w:type="dxa"/>
            <w:vAlign w:val="center"/>
          </w:tcPr>
          <w:p>
            <w:pPr>
              <w:pStyle w:val="36"/>
            </w:pPr>
          </w:p>
        </w:tc>
        <w:tc>
          <w:tcPr>
            <w:tcW w:w="964" w:type="dxa"/>
            <w:vAlign w:val="center"/>
          </w:tcPr>
          <w:p>
            <w:pPr>
              <w:pStyle w:val="36"/>
              <w:rPr>
                <w:rFonts w:hint="default" w:eastAsia="方正书宋_GBK"/>
                <w:lang w:val="en-US" w:eastAsia="zh-CN"/>
              </w:rPr>
            </w:pPr>
            <w:r>
              <w:rPr>
                <w:rFonts w:hint="eastAsia"/>
                <w:lang w:val="en-US" w:eastAsia="zh-CN"/>
              </w:rPr>
              <w:t>136</w:t>
            </w:r>
          </w:p>
        </w:tc>
        <w:tc>
          <w:tcPr>
            <w:tcW w:w="964" w:type="dxa"/>
            <w:vAlign w:val="center"/>
          </w:tcPr>
          <w:p>
            <w:pPr>
              <w:pStyle w:val="36"/>
              <w:rPr>
                <w:rFonts w:hint="default" w:eastAsia="方正书宋_GBK"/>
                <w:lang w:val="en-US" w:eastAsia="zh-CN"/>
              </w:rPr>
            </w:pPr>
            <w:r>
              <w:rPr>
                <w:rFonts w:hint="eastAsia"/>
                <w:lang w:val="en-US" w:eastAsia="zh-CN"/>
              </w:rPr>
              <w:t>136</w:t>
            </w:r>
          </w:p>
        </w:tc>
        <w:tc>
          <w:tcPr>
            <w:tcW w:w="964" w:type="dxa"/>
            <w:vAlign w:val="center"/>
          </w:tcPr>
          <w:p>
            <w:pPr>
              <w:pStyle w:val="36"/>
            </w:pPr>
          </w:p>
        </w:tc>
        <w:tc>
          <w:tcPr>
            <w:tcW w:w="964" w:type="dxa"/>
            <w:vAlign w:val="center"/>
          </w:tcPr>
          <w:p>
            <w:pPr>
              <w:pStyle w:val="36"/>
            </w:pPr>
          </w:p>
        </w:tc>
        <w:tc>
          <w:tcPr>
            <w:tcW w:w="964" w:type="dxa"/>
            <w:vAlign w:val="center"/>
          </w:tcPr>
          <w:p>
            <w:pPr>
              <w:pStyle w:val="36"/>
            </w:pPr>
          </w:p>
        </w:tc>
        <w:tc>
          <w:tcPr>
            <w:tcW w:w="964" w:type="dxa"/>
            <w:vAlign w:val="center"/>
          </w:tcPr>
          <w:p>
            <w:pPr>
              <w:pStyle w:val="36"/>
            </w:pPr>
          </w:p>
        </w:tc>
        <w:tc>
          <w:tcPr>
            <w:tcW w:w="964" w:type="dxa"/>
            <w:vAlign w:val="center"/>
          </w:tcPr>
          <w:p>
            <w:pPr>
              <w:pStyle w:val="36"/>
            </w:pPr>
          </w:p>
        </w:tc>
        <w:tc>
          <w:tcPr>
            <w:tcW w:w="964" w:type="dxa"/>
            <w:vAlign w:val="center"/>
          </w:tcPr>
          <w:p>
            <w:pPr>
              <w:pStyle w:val="36"/>
            </w:pPr>
          </w:p>
        </w:tc>
        <w:tc>
          <w:tcPr>
            <w:tcW w:w="964" w:type="dxa"/>
            <w:vAlign w:val="center"/>
          </w:tcPr>
          <w:p>
            <w:pPr>
              <w:pStyle w:val="36"/>
              <w:rPr>
                <w:rFonts w:hint="default" w:eastAsia="方正书宋_GBK"/>
                <w:lang w:val="en-US" w:eastAsia="zh-CN"/>
              </w:rPr>
            </w:pPr>
            <w:r>
              <w:rPr>
                <w:rFonts w:hint="eastAsia"/>
                <w:lang w:val="en-US" w:eastAsia="zh-CN"/>
              </w:rPr>
              <w:t>136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30"/>
            </w:pPr>
            <w:r>
              <w:t>大围河乡2023年度革命老区大围河村村街道路硬化工程</w:t>
            </w:r>
          </w:p>
        </w:tc>
        <w:tc>
          <w:tcPr>
            <w:tcW w:w="964" w:type="dxa"/>
            <w:vAlign w:val="center"/>
          </w:tcPr>
          <w:p>
            <w:pPr>
              <w:pStyle w:val="28"/>
              <w:rPr>
                <w:rFonts w:hint="default" w:eastAsia="方正书宋_GBK"/>
                <w:lang w:val="en-US" w:eastAsia="zh-CN"/>
              </w:rPr>
            </w:pPr>
            <w:r>
              <w:rPr>
                <w:rFonts w:hint="eastAsia"/>
                <w:lang w:val="en-US" w:eastAsia="zh-CN"/>
              </w:rPr>
              <w:t>68</w:t>
            </w:r>
          </w:p>
        </w:tc>
        <w:tc>
          <w:tcPr>
            <w:tcW w:w="1134" w:type="dxa"/>
            <w:vAlign w:val="center"/>
          </w:tcPr>
          <w:p>
            <w:pPr>
              <w:pStyle w:val="30"/>
            </w:pPr>
            <w:r>
              <w:t>其他建筑工程</w:t>
            </w:r>
          </w:p>
        </w:tc>
        <w:tc>
          <w:tcPr>
            <w:tcW w:w="1276" w:type="dxa"/>
            <w:vAlign w:val="center"/>
          </w:tcPr>
          <w:p>
            <w:pPr>
              <w:pStyle w:val="30"/>
            </w:pPr>
            <w:r>
              <w:t>B99000000</w:t>
            </w:r>
          </w:p>
        </w:tc>
        <w:tc>
          <w:tcPr>
            <w:tcW w:w="709" w:type="dxa"/>
            <w:vAlign w:val="center"/>
          </w:tcPr>
          <w:p>
            <w:pPr>
              <w:pStyle w:val="32"/>
            </w:pPr>
            <w:r>
              <w:t>元</w:t>
            </w:r>
          </w:p>
        </w:tc>
        <w:tc>
          <w:tcPr>
            <w:tcW w:w="709" w:type="dxa"/>
            <w:vAlign w:val="center"/>
          </w:tcPr>
          <w:p>
            <w:pPr>
              <w:pStyle w:val="28"/>
            </w:pPr>
            <w:r>
              <w:t>1</w:t>
            </w:r>
          </w:p>
        </w:tc>
        <w:tc>
          <w:tcPr>
            <w:tcW w:w="850" w:type="dxa"/>
            <w:vAlign w:val="center"/>
          </w:tcPr>
          <w:p>
            <w:pPr>
              <w:pStyle w:val="28"/>
              <w:rPr>
                <w:rFonts w:hint="default" w:eastAsia="方正书宋_GBK"/>
                <w:lang w:val="en-US" w:eastAsia="zh-CN"/>
              </w:rPr>
            </w:pPr>
            <w:r>
              <w:rPr>
                <w:rFonts w:hint="eastAsia"/>
                <w:lang w:val="en-US" w:eastAsia="zh-CN"/>
              </w:rPr>
              <w:t>68</w:t>
            </w:r>
          </w:p>
        </w:tc>
        <w:tc>
          <w:tcPr>
            <w:tcW w:w="964" w:type="dxa"/>
            <w:vAlign w:val="center"/>
          </w:tcPr>
          <w:p>
            <w:pPr>
              <w:pStyle w:val="28"/>
              <w:rPr>
                <w:rFonts w:hint="default" w:eastAsia="方正书宋_GBK"/>
                <w:lang w:val="en-US" w:eastAsia="zh-CN"/>
              </w:rPr>
            </w:pPr>
            <w:r>
              <w:rPr>
                <w:rFonts w:hint="eastAsia"/>
                <w:lang w:val="en-US" w:eastAsia="zh-CN"/>
              </w:rPr>
              <w:t>68</w:t>
            </w:r>
          </w:p>
        </w:tc>
        <w:tc>
          <w:tcPr>
            <w:tcW w:w="964" w:type="dxa"/>
            <w:vAlign w:val="center"/>
          </w:tcPr>
          <w:p>
            <w:pPr>
              <w:pStyle w:val="28"/>
              <w:rPr>
                <w:rFonts w:hint="default" w:eastAsia="方正书宋_GBK"/>
                <w:lang w:val="en-US" w:eastAsia="zh-CN"/>
              </w:rPr>
            </w:pPr>
            <w:r>
              <w:rPr>
                <w:rFonts w:hint="eastAsia"/>
                <w:lang w:val="en-US" w:eastAsia="zh-CN"/>
              </w:rPr>
              <w:t>68</w:t>
            </w:r>
          </w:p>
        </w:tc>
        <w:tc>
          <w:tcPr>
            <w:tcW w:w="964" w:type="dxa"/>
            <w:vAlign w:val="center"/>
          </w:tcPr>
          <w:p>
            <w:pPr>
              <w:pStyle w:val="28"/>
            </w:pPr>
          </w:p>
        </w:tc>
        <w:tc>
          <w:tcPr>
            <w:tcW w:w="964" w:type="dxa"/>
            <w:vAlign w:val="center"/>
          </w:tcPr>
          <w:p>
            <w:pPr>
              <w:pStyle w:val="28"/>
            </w:pPr>
          </w:p>
        </w:tc>
        <w:tc>
          <w:tcPr>
            <w:tcW w:w="964" w:type="dxa"/>
            <w:vAlign w:val="center"/>
          </w:tcPr>
          <w:p>
            <w:pPr>
              <w:pStyle w:val="28"/>
            </w:pPr>
          </w:p>
        </w:tc>
        <w:tc>
          <w:tcPr>
            <w:tcW w:w="964" w:type="dxa"/>
            <w:vAlign w:val="center"/>
          </w:tcPr>
          <w:p>
            <w:pPr>
              <w:pStyle w:val="28"/>
            </w:pPr>
          </w:p>
        </w:tc>
        <w:tc>
          <w:tcPr>
            <w:tcW w:w="964" w:type="dxa"/>
            <w:vAlign w:val="center"/>
          </w:tcPr>
          <w:p>
            <w:pPr>
              <w:pStyle w:val="28"/>
            </w:pPr>
          </w:p>
        </w:tc>
        <w:tc>
          <w:tcPr>
            <w:tcW w:w="964" w:type="dxa"/>
            <w:vAlign w:val="center"/>
          </w:tcPr>
          <w:p>
            <w:pPr>
              <w:pStyle w:val="28"/>
            </w:pPr>
          </w:p>
        </w:tc>
        <w:tc>
          <w:tcPr>
            <w:tcW w:w="964" w:type="dxa"/>
            <w:vAlign w:val="center"/>
          </w:tcPr>
          <w:p>
            <w:pPr>
              <w:pStyle w:val="28"/>
              <w:rPr>
                <w:rFonts w:hint="default" w:eastAsia="方正书宋_GBK"/>
                <w:lang w:val="en-US" w:eastAsia="zh-CN"/>
              </w:rPr>
            </w:pPr>
            <w:r>
              <w:rPr>
                <w:rFonts w:hint="eastAsia"/>
                <w:lang w:val="en-US" w:eastAsia="zh-CN"/>
              </w:rPr>
              <w:t>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30"/>
            </w:pPr>
            <w:r>
              <w:t>大围河乡2023年度革命老区李头村村街道路硬化工程</w:t>
            </w:r>
          </w:p>
        </w:tc>
        <w:tc>
          <w:tcPr>
            <w:tcW w:w="964" w:type="dxa"/>
            <w:vAlign w:val="center"/>
          </w:tcPr>
          <w:p>
            <w:pPr>
              <w:pStyle w:val="28"/>
              <w:rPr>
                <w:rFonts w:hint="default" w:eastAsia="方正书宋_GBK"/>
                <w:lang w:val="en-US" w:eastAsia="zh-CN"/>
              </w:rPr>
            </w:pPr>
            <w:r>
              <w:rPr>
                <w:rFonts w:hint="eastAsia"/>
                <w:lang w:val="en-US" w:eastAsia="zh-CN"/>
              </w:rPr>
              <w:t>68</w:t>
            </w:r>
          </w:p>
        </w:tc>
        <w:tc>
          <w:tcPr>
            <w:tcW w:w="1134" w:type="dxa"/>
            <w:vAlign w:val="center"/>
          </w:tcPr>
          <w:p>
            <w:pPr>
              <w:pStyle w:val="30"/>
            </w:pPr>
            <w:r>
              <w:t>其他建筑工程</w:t>
            </w:r>
          </w:p>
        </w:tc>
        <w:tc>
          <w:tcPr>
            <w:tcW w:w="1276" w:type="dxa"/>
            <w:vAlign w:val="center"/>
          </w:tcPr>
          <w:p>
            <w:pPr>
              <w:pStyle w:val="30"/>
            </w:pPr>
            <w:r>
              <w:t>B99000000</w:t>
            </w:r>
          </w:p>
        </w:tc>
        <w:tc>
          <w:tcPr>
            <w:tcW w:w="709" w:type="dxa"/>
            <w:vAlign w:val="center"/>
          </w:tcPr>
          <w:p>
            <w:pPr>
              <w:pStyle w:val="32"/>
            </w:pPr>
            <w:r>
              <w:t>元</w:t>
            </w:r>
          </w:p>
        </w:tc>
        <w:tc>
          <w:tcPr>
            <w:tcW w:w="709" w:type="dxa"/>
            <w:vAlign w:val="center"/>
          </w:tcPr>
          <w:p>
            <w:pPr>
              <w:pStyle w:val="28"/>
            </w:pPr>
            <w:r>
              <w:t>1</w:t>
            </w:r>
          </w:p>
        </w:tc>
        <w:tc>
          <w:tcPr>
            <w:tcW w:w="850" w:type="dxa"/>
            <w:vAlign w:val="center"/>
          </w:tcPr>
          <w:p>
            <w:pPr>
              <w:pStyle w:val="28"/>
              <w:rPr>
                <w:rFonts w:hint="default" w:eastAsia="方正书宋_GBK"/>
                <w:lang w:val="en-US" w:eastAsia="zh-CN"/>
              </w:rPr>
            </w:pPr>
            <w:r>
              <w:rPr>
                <w:rFonts w:hint="eastAsia"/>
                <w:lang w:val="en-US" w:eastAsia="zh-CN"/>
              </w:rPr>
              <w:t>68</w:t>
            </w:r>
          </w:p>
        </w:tc>
        <w:tc>
          <w:tcPr>
            <w:tcW w:w="964" w:type="dxa"/>
            <w:vAlign w:val="center"/>
          </w:tcPr>
          <w:p>
            <w:pPr>
              <w:pStyle w:val="28"/>
              <w:rPr>
                <w:rFonts w:hint="default" w:eastAsia="方正书宋_GBK"/>
                <w:lang w:val="en-US" w:eastAsia="zh-CN"/>
              </w:rPr>
            </w:pPr>
            <w:r>
              <w:rPr>
                <w:rFonts w:hint="eastAsia"/>
                <w:lang w:val="en-US" w:eastAsia="zh-CN"/>
              </w:rPr>
              <w:t>68</w:t>
            </w:r>
          </w:p>
        </w:tc>
        <w:tc>
          <w:tcPr>
            <w:tcW w:w="964" w:type="dxa"/>
            <w:vAlign w:val="center"/>
          </w:tcPr>
          <w:p>
            <w:pPr>
              <w:pStyle w:val="28"/>
              <w:rPr>
                <w:rFonts w:hint="default" w:eastAsia="方正书宋_GBK"/>
                <w:lang w:val="en-US" w:eastAsia="zh-CN"/>
              </w:rPr>
            </w:pPr>
            <w:r>
              <w:rPr>
                <w:rFonts w:hint="eastAsia"/>
                <w:lang w:val="en-US" w:eastAsia="zh-CN"/>
              </w:rPr>
              <w:t>68</w:t>
            </w:r>
          </w:p>
        </w:tc>
        <w:tc>
          <w:tcPr>
            <w:tcW w:w="964" w:type="dxa"/>
            <w:vAlign w:val="center"/>
          </w:tcPr>
          <w:p>
            <w:pPr>
              <w:pStyle w:val="28"/>
            </w:pPr>
          </w:p>
        </w:tc>
        <w:tc>
          <w:tcPr>
            <w:tcW w:w="964" w:type="dxa"/>
            <w:vAlign w:val="center"/>
          </w:tcPr>
          <w:p>
            <w:pPr>
              <w:pStyle w:val="28"/>
            </w:pPr>
          </w:p>
        </w:tc>
        <w:tc>
          <w:tcPr>
            <w:tcW w:w="964" w:type="dxa"/>
            <w:vAlign w:val="center"/>
          </w:tcPr>
          <w:p>
            <w:pPr>
              <w:pStyle w:val="28"/>
            </w:pPr>
          </w:p>
        </w:tc>
        <w:tc>
          <w:tcPr>
            <w:tcW w:w="964" w:type="dxa"/>
            <w:vAlign w:val="center"/>
          </w:tcPr>
          <w:p>
            <w:pPr>
              <w:pStyle w:val="28"/>
            </w:pPr>
          </w:p>
        </w:tc>
        <w:tc>
          <w:tcPr>
            <w:tcW w:w="964" w:type="dxa"/>
            <w:vAlign w:val="center"/>
          </w:tcPr>
          <w:p>
            <w:pPr>
              <w:pStyle w:val="28"/>
            </w:pPr>
          </w:p>
        </w:tc>
        <w:tc>
          <w:tcPr>
            <w:tcW w:w="964" w:type="dxa"/>
            <w:vAlign w:val="center"/>
          </w:tcPr>
          <w:p>
            <w:pPr>
              <w:pStyle w:val="28"/>
            </w:pPr>
          </w:p>
        </w:tc>
        <w:tc>
          <w:tcPr>
            <w:tcW w:w="964" w:type="dxa"/>
            <w:vAlign w:val="center"/>
          </w:tcPr>
          <w:p>
            <w:pPr>
              <w:pStyle w:val="28"/>
              <w:rPr>
                <w:rFonts w:hint="default" w:eastAsia="方正书宋_GBK"/>
                <w:lang w:val="en-US" w:eastAsia="zh-CN"/>
              </w:rPr>
            </w:pPr>
            <w:r>
              <w:rPr>
                <w:rFonts w:hint="eastAsia"/>
                <w:lang w:val="en-US" w:eastAsia="zh-CN"/>
              </w:rPr>
              <w:t>68</w:t>
            </w:r>
          </w:p>
        </w:tc>
      </w:tr>
    </w:tbl>
    <w:p>
      <w:pPr>
        <w:autoSpaceDE w:val="0"/>
        <w:autoSpaceDN w:val="0"/>
        <w:adjustRightInd w:val="0"/>
        <w:spacing w:line="584" w:lineRule="exact"/>
        <w:ind w:firstLine="640" w:firstLineChars="200"/>
        <w:jc w:val="left"/>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七、国有资产信息</w:t>
      </w:r>
    </w:p>
    <w:p>
      <w:pPr>
        <w:spacing w:line="584" w:lineRule="exact"/>
        <w:ind w:firstLine="640"/>
        <w:rPr>
          <w:rFonts w:ascii="Times New Roman" w:hAnsi="Times New Roman" w:eastAsia="仿宋_GB2312"/>
          <w:sz w:val="32"/>
          <w:szCs w:val="32"/>
        </w:rPr>
      </w:pPr>
      <w:r>
        <w:rPr>
          <w:rFonts w:hint="eastAsia" w:ascii="Times New Roman" w:hAnsi="Times New Roman" w:eastAsia="仿宋_GB2312"/>
          <w:sz w:val="32"/>
          <w:szCs w:val="32"/>
        </w:rPr>
        <w:t>廊坊市文安县</w:t>
      </w:r>
      <w:r>
        <w:rPr>
          <w:rFonts w:hint="eastAsia" w:ascii="Times New Roman" w:hAnsi="Times New Roman" w:eastAsia="仿宋_GB2312"/>
          <w:sz w:val="32"/>
          <w:szCs w:val="32"/>
          <w:lang w:eastAsia="zh-CN"/>
        </w:rPr>
        <w:t>大围河乡</w:t>
      </w:r>
      <w:r>
        <w:rPr>
          <w:rFonts w:hint="eastAsia" w:ascii="Times New Roman" w:hAnsi="Times New Roman" w:eastAsia="仿宋_GB2312"/>
          <w:sz w:val="32"/>
          <w:szCs w:val="32"/>
        </w:rPr>
        <w:t>人民政府上年末固定资产金额为</w:t>
      </w:r>
      <w:r>
        <w:rPr>
          <w:rFonts w:hint="eastAsia" w:ascii="Times New Roman" w:hAnsi="Times New Roman" w:eastAsia="仿宋_GB2312"/>
          <w:sz w:val="32"/>
          <w:szCs w:val="32"/>
          <w:lang w:val="en-US" w:eastAsia="zh-CN"/>
        </w:rPr>
        <w:t>477.19</w:t>
      </w:r>
      <w:r>
        <w:rPr>
          <w:rFonts w:hint="eastAsia" w:ascii="Times New Roman" w:hAnsi="Times New Roman" w:eastAsia="仿宋_GB2312"/>
          <w:sz w:val="32"/>
          <w:szCs w:val="32"/>
        </w:rPr>
        <w:t>万元，本年度我部门无拟购置固定资产</w:t>
      </w:r>
    </w:p>
    <w:tbl>
      <w:tblPr>
        <w:tblStyle w:val="11"/>
        <w:tblW w:w="13482" w:type="dxa"/>
        <w:tblInd w:w="93" w:type="dxa"/>
        <w:tblLayout w:type="fixed"/>
        <w:tblCellMar>
          <w:top w:w="0" w:type="dxa"/>
          <w:left w:w="108" w:type="dxa"/>
          <w:bottom w:w="0" w:type="dxa"/>
          <w:right w:w="108" w:type="dxa"/>
        </w:tblCellMar>
      </w:tblPr>
      <w:tblGrid>
        <w:gridCol w:w="5224"/>
        <w:gridCol w:w="3155"/>
        <w:gridCol w:w="5103"/>
      </w:tblGrid>
      <w:tr>
        <w:tblPrEx>
          <w:tblCellMar>
            <w:top w:w="0" w:type="dxa"/>
            <w:left w:w="108" w:type="dxa"/>
            <w:bottom w:w="0" w:type="dxa"/>
            <w:right w:w="108" w:type="dxa"/>
          </w:tblCellMar>
        </w:tblPrEx>
        <w:trPr>
          <w:trHeight w:val="705" w:hRule="atLeast"/>
        </w:trPr>
        <w:tc>
          <w:tcPr>
            <w:tcW w:w="13482" w:type="dxa"/>
            <w:gridSpan w:val="3"/>
            <w:tcBorders>
              <w:top w:val="nil"/>
              <w:left w:val="nil"/>
              <w:bottom w:val="nil"/>
              <w:right w:val="nil"/>
            </w:tcBorders>
            <w:vAlign w:val="center"/>
          </w:tcPr>
          <w:p>
            <w:pPr>
              <w:widowControl/>
              <w:spacing w:line="584" w:lineRule="exact"/>
              <w:jc w:val="center"/>
              <w:rPr>
                <w:rFonts w:ascii="Times New Roman" w:hAnsi="Times New Roman" w:eastAsia="仿宋_GB2312"/>
                <w:b/>
                <w:bCs/>
                <w:kern w:val="0"/>
                <w:sz w:val="32"/>
                <w:szCs w:val="32"/>
              </w:rPr>
            </w:pPr>
            <w:r>
              <w:rPr>
                <w:rFonts w:hint="eastAsia" w:ascii="Times New Roman" w:hAnsi="Times New Roman" w:eastAsia="仿宋_GB2312"/>
                <w:b/>
                <w:bCs/>
                <w:kern w:val="0"/>
                <w:sz w:val="32"/>
                <w:szCs w:val="32"/>
              </w:rPr>
              <w:t>廊坊市市直部门固定资</w:t>
            </w:r>
            <w:bookmarkStart w:id="10" w:name="_GoBack"/>
            <w:bookmarkEnd w:id="10"/>
            <w:r>
              <w:rPr>
                <w:rFonts w:hint="eastAsia" w:ascii="Times New Roman" w:hAnsi="Times New Roman" w:eastAsia="仿宋_GB2312"/>
                <w:b/>
                <w:bCs/>
                <w:kern w:val="0"/>
                <w:sz w:val="32"/>
                <w:szCs w:val="32"/>
              </w:rPr>
              <w:t>产占用情况表</w:t>
            </w:r>
          </w:p>
        </w:tc>
      </w:tr>
      <w:tr>
        <w:tblPrEx>
          <w:tblCellMar>
            <w:top w:w="0" w:type="dxa"/>
            <w:left w:w="108" w:type="dxa"/>
            <w:bottom w:w="0" w:type="dxa"/>
            <w:right w:w="108" w:type="dxa"/>
          </w:tblCellMar>
        </w:tblPrEx>
        <w:trPr>
          <w:trHeight w:val="510" w:hRule="atLeast"/>
        </w:trPr>
        <w:tc>
          <w:tcPr>
            <w:tcW w:w="8379" w:type="dxa"/>
            <w:gridSpan w:val="2"/>
            <w:tcBorders>
              <w:top w:val="nil"/>
              <w:left w:val="nil"/>
              <w:bottom w:val="nil"/>
              <w:right w:val="nil"/>
            </w:tcBorders>
            <w:vAlign w:val="center"/>
          </w:tcPr>
          <w:p>
            <w:pPr>
              <w:widowControl/>
              <w:spacing w:line="584" w:lineRule="exact"/>
              <w:jc w:val="left"/>
              <w:rPr>
                <w:rFonts w:ascii="Times New Roman" w:hAnsi="Times New Roman" w:eastAsia="仿宋_GB2312"/>
                <w:kern w:val="0"/>
                <w:sz w:val="22"/>
              </w:rPr>
            </w:pPr>
            <w:r>
              <w:rPr>
                <w:rFonts w:hint="eastAsia" w:ascii="Times New Roman" w:hAnsi="Times New Roman" w:eastAsia="仿宋_GB2312"/>
                <w:kern w:val="0"/>
                <w:sz w:val="22"/>
              </w:rPr>
              <w:t>编制部门：廊坊市文安县</w:t>
            </w:r>
            <w:r>
              <w:rPr>
                <w:rFonts w:hint="eastAsia" w:ascii="Times New Roman" w:hAnsi="Times New Roman" w:eastAsia="仿宋_GB2312"/>
                <w:kern w:val="0"/>
                <w:sz w:val="22"/>
                <w:lang w:eastAsia="zh-CN"/>
              </w:rPr>
              <w:t>大围河乡</w:t>
            </w:r>
            <w:r>
              <w:rPr>
                <w:rFonts w:hint="eastAsia" w:ascii="Times New Roman" w:hAnsi="Times New Roman" w:eastAsia="仿宋_GB2312"/>
                <w:kern w:val="0"/>
                <w:sz w:val="22"/>
              </w:rPr>
              <w:t>人民政府</w:t>
            </w:r>
          </w:p>
        </w:tc>
        <w:tc>
          <w:tcPr>
            <w:tcW w:w="5103" w:type="dxa"/>
            <w:tcBorders>
              <w:top w:val="nil"/>
              <w:left w:val="nil"/>
              <w:bottom w:val="nil"/>
              <w:right w:val="nil"/>
            </w:tcBorders>
            <w:vAlign w:val="center"/>
          </w:tcPr>
          <w:p>
            <w:pPr>
              <w:widowControl/>
              <w:spacing w:line="584" w:lineRule="exact"/>
              <w:jc w:val="left"/>
              <w:rPr>
                <w:rFonts w:ascii="Times New Roman" w:hAnsi="Times New Roman" w:eastAsia="仿宋_GB2312"/>
                <w:kern w:val="0"/>
                <w:sz w:val="22"/>
              </w:rPr>
            </w:pPr>
            <w:r>
              <w:rPr>
                <w:rFonts w:ascii="Times New Roman" w:hAnsi="Times New Roman" w:eastAsia="仿宋_GB2312"/>
                <w:kern w:val="0"/>
                <w:sz w:val="22"/>
              </w:rPr>
              <w:t xml:space="preserve">              </w:t>
            </w:r>
            <w:r>
              <w:rPr>
                <w:rFonts w:hint="eastAsia" w:ascii="Times New Roman" w:hAnsi="Times New Roman" w:eastAsia="仿宋_GB2312"/>
                <w:kern w:val="0"/>
                <w:sz w:val="22"/>
              </w:rPr>
              <w:t>截止时间：</w:t>
            </w:r>
            <w:r>
              <w:rPr>
                <w:rFonts w:ascii="Times New Roman" w:hAnsi="Times New Roman" w:eastAsia="仿宋_GB2312"/>
                <w:kern w:val="0"/>
                <w:sz w:val="22"/>
              </w:rPr>
              <w:t>20</w:t>
            </w:r>
            <w:r>
              <w:rPr>
                <w:rFonts w:hint="eastAsia" w:ascii="Times New Roman" w:hAnsi="Times New Roman" w:eastAsia="仿宋_GB2312"/>
                <w:kern w:val="0"/>
                <w:sz w:val="22"/>
              </w:rPr>
              <w:t>2</w:t>
            </w:r>
            <w:r>
              <w:rPr>
                <w:rFonts w:hint="eastAsia" w:ascii="Times New Roman" w:hAnsi="Times New Roman" w:eastAsia="仿宋_GB2312"/>
                <w:kern w:val="0"/>
                <w:sz w:val="22"/>
                <w:lang w:val="en-US" w:eastAsia="zh-CN"/>
              </w:rPr>
              <w:t>2</w:t>
            </w:r>
            <w:r>
              <w:rPr>
                <w:rFonts w:hint="eastAsia" w:ascii="Times New Roman" w:hAnsi="Times New Roman" w:eastAsia="仿宋_GB2312"/>
                <w:kern w:val="0"/>
                <w:sz w:val="22"/>
              </w:rPr>
              <w:t>年</w:t>
            </w:r>
            <w:r>
              <w:rPr>
                <w:rFonts w:ascii="Times New Roman" w:hAnsi="Times New Roman" w:eastAsia="仿宋_GB2312"/>
                <w:kern w:val="0"/>
                <w:sz w:val="22"/>
              </w:rPr>
              <w:t>12</w:t>
            </w:r>
            <w:r>
              <w:rPr>
                <w:rFonts w:hint="eastAsia" w:ascii="Times New Roman" w:hAnsi="Times New Roman" w:eastAsia="仿宋_GB2312"/>
                <w:kern w:val="0"/>
                <w:sz w:val="22"/>
              </w:rPr>
              <w:t>月</w:t>
            </w:r>
            <w:r>
              <w:rPr>
                <w:rFonts w:ascii="Times New Roman" w:hAnsi="Times New Roman" w:eastAsia="仿宋_GB2312"/>
                <w:kern w:val="0"/>
                <w:sz w:val="22"/>
              </w:rPr>
              <w:t>31</w:t>
            </w:r>
            <w:r>
              <w:rPr>
                <w:rFonts w:hint="eastAsia" w:ascii="Times New Roman" w:hAnsi="Times New Roman" w:eastAsia="仿宋_GB2312"/>
                <w:kern w:val="0"/>
                <w:sz w:val="22"/>
              </w:rPr>
              <w:t>日</w:t>
            </w:r>
            <w:r>
              <w:rPr>
                <w:rFonts w:ascii="Times New Roman" w:hAnsi="Times New Roman" w:eastAsia="仿宋_GB2312"/>
                <w:kern w:val="0"/>
                <w:sz w:val="22"/>
              </w:rPr>
              <w:t xml:space="preserve">  </w:t>
            </w:r>
          </w:p>
        </w:tc>
      </w:tr>
      <w:tr>
        <w:tblPrEx>
          <w:tblCellMar>
            <w:top w:w="0" w:type="dxa"/>
            <w:left w:w="108" w:type="dxa"/>
            <w:bottom w:w="0" w:type="dxa"/>
            <w:right w:w="108" w:type="dxa"/>
          </w:tblCellMar>
        </w:tblPrEx>
        <w:trPr>
          <w:trHeight w:val="567" w:hRule="exact"/>
        </w:trPr>
        <w:tc>
          <w:tcPr>
            <w:tcW w:w="5224" w:type="dxa"/>
            <w:tcBorders>
              <w:top w:val="single" w:color="auto" w:sz="4" w:space="0"/>
              <w:left w:val="single" w:color="auto" w:sz="4" w:space="0"/>
              <w:bottom w:val="single" w:color="auto" w:sz="4" w:space="0"/>
              <w:right w:val="single" w:color="auto" w:sz="4" w:space="0"/>
            </w:tcBorders>
            <w:vAlign w:val="center"/>
          </w:tcPr>
          <w:p>
            <w:pPr>
              <w:widowControl/>
              <w:spacing w:line="584" w:lineRule="exact"/>
              <w:jc w:val="center"/>
              <w:rPr>
                <w:rFonts w:ascii="Times New Roman" w:hAnsi="Times New Roman" w:eastAsia="仿宋_GB2312"/>
                <w:b/>
                <w:bCs/>
                <w:kern w:val="0"/>
                <w:sz w:val="22"/>
              </w:rPr>
            </w:pPr>
            <w:r>
              <w:rPr>
                <w:rFonts w:hint="eastAsia" w:ascii="Times New Roman" w:hAnsi="Times New Roman" w:eastAsia="仿宋_GB2312"/>
                <w:b/>
                <w:bCs/>
                <w:kern w:val="0"/>
                <w:sz w:val="22"/>
              </w:rPr>
              <w:t>项</w:t>
            </w:r>
            <w:r>
              <w:rPr>
                <w:rFonts w:ascii="Times New Roman" w:hAnsi="Times New Roman" w:eastAsia="仿宋_GB2312"/>
                <w:b/>
                <w:bCs/>
                <w:kern w:val="0"/>
                <w:sz w:val="22"/>
              </w:rPr>
              <w:t xml:space="preserve">   </w:t>
            </w:r>
            <w:r>
              <w:rPr>
                <w:rFonts w:hint="eastAsia" w:ascii="Times New Roman" w:hAnsi="Times New Roman" w:eastAsia="仿宋_GB2312"/>
                <w:b/>
                <w:bCs/>
                <w:kern w:val="0"/>
                <w:sz w:val="22"/>
              </w:rPr>
              <w:t>目</w:t>
            </w:r>
          </w:p>
        </w:tc>
        <w:tc>
          <w:tcPr>
            <w:tcW w:w="3155" w:type="dxa"/>
            <w:tcBorders>
              <w:top w:val="single" w:color="auto" w:sz="4" w:space="0"/>
              <w:left w:val="nil"/>
              <w:bottom w:val="single" w:color="auto" w:sz="4" w:space="0"/>
              <w:right w:val="single" w:color="auto" w:sz="4" w:space="0"/>
            </w:tcBorders>
            <w:vAlign w:val="center"/>
          </w:tcPr>
          <w:p>
            <w:pPr>
              <w:widowControl/>
              <w:spacing w:line="584" w:lineRule="exact"/>
              <w:jc w:val="center"/>
              <w:rPr>
                <w:rFonts w:ascii="Times New Roman" w:hAnsi="Times New Roman" w:eastAsia="仿宋_GB2312"/>
                <w:b/>
                <w:bCs/>
                <w:kern w:val="0"/>
                <w:sz w:val="22"/>
              </w:rPr>
            </w:pPr>
            <w:r>
              <w:rPr>
                <w:rFonts w:hint="eastAsia" w:ascii="Times New Roman" w:hAnsi="Times New Roman" w:eastAsia="仿宋_GB2312"/>
                <w:b/>
                <w:bCs/>
                <w:kern w:val="0"/>
                <w:sz w:val="22"/>
              </w:rPr>
              <w:t>数量</w:t>
            </w:r>
          </w:p>
        </w:tc>
        <w:tc>
          <w:tcPr>
            <w:tcW w:w="5103" w:type="dxa"/>
            <w:tcBorders>
              <w:top w:val="single" w:color="auto" w:sz="4" w:space="0"/>
              <w:left w:val="nil"/>
              <w:bottom w:val="single" w:color="auto" w:sz="4" w:space="0"/>
              <w:right w:val="single" w:color="auto" w:sz="4" w:space="0"/>
            </w:tcBorders>
            <w:vAlign w:val="center"/>
          </w:tcPr>
          <w:p>
            <w:pPr>
              <w:widowControl/>
              <w:spacing w:line="584" w:lineRule="exact"/>
              <w:jc w:val="center"/>
              <w:rPr>
                <w:rFonts w:ascii="Times New Roman" w:hAnsi="Times New Roman" w:eastAsia="仿宋_GB2312"/>
                <w:b/>
                <w:bCs/>
                <w:kern w:val="0"/>
                <w:sz w:val="22"/>
              </w:rPr>
            </w:pPr>
            <w:r>
              <w:rPr>
                <w:rFonts w:hint="eastAsia" w:ascii="Times New Roman" w:hAnsi="Times New Roman" w:eastAsia="仿宋_GB2312"/>
                <w:b/>
                <w:bCs/>
                <w:kern w:val="0"/>
                <w:sz w:val="22"/>
              </w:rPr>
              <w:t>价值（金额单位：万元）</w:t>
            </w:r>
          </w:p>
        </w:tc>
      </w:tr>
      <w:tr>
        <w:tblPrEx>
          <w:tblCellMar>
            <w:top w:w="0" w:type="dxa"/>
            <w:left w:w="108" w:type="dxa"/>
            <w:bottom w:w="0" w:type="dxa"/>
            <w:right w:w="108" w:type="dxa"/>
          </w:tblCellMar>
        </w:tblPrEx>
        <w:trPr>
          <w:trHeight w:val="567" w:hRule="exact"/>
        </w:trPr>
        <w:tc>
          <w:tcPr>
            <w:tcW w:w="5224" w:type="dxa"/>
            <w:tcBorders>
              <w:top w:val="nil"/>
              <w:left w:val="single" w:color="auto" w:sz="4" w:space="0"/>
              <w:bottom w:val="single" w:color="auto" w:sz="4" w:space="0"/>
              <w:right w:val="single" w:color="auto" w:sz="4" w:space="0"/>
            </w:tcBorders>
            <w:vAlign w:val="center"/>
          </w:tcPr>
          <w:p>
            <w:pPr>
              <w:widowControl/>
              <w:spacing w:line="584" w:lineRule="exact"/>
              <w:jc w:val="center"/>
              <w:rPr>
                <w:rFonts w:ascii="Times New Roman" w:hAnsi="Times New Roman" w:eastAsia="仿宋_GB2312"/>
                <w:kern w:val="0"/>
                <w:sz w:val="22"/>
              </w:rPr>
            </w:pPr>
            <w:r>
              <w:rPr>
                <w:rFonts w:hint="eastAsia" w:ascii="Times New Roman" w:hAnsi="Times New Roman" w:eastAsia="仿宋_GB2312"/>
                <w:kern w:val="0"/>
                <w:sz w:val="22"/>
              </w:rPr>
              <w:t>资产总额</w:t>
            </w:r>
          </w:p>
        </w:tc>
        <w:tc>
          <w:tcPr>
            <w:tcW w:w="3155" w:type="dxa"/>
            <w:tcBorders>
              <w:top w:val="nil"/>
              <w:left w:val="nil"/>
              <w:bottom w:val="single" w:color="auto" w:sz="4" w:space="0"/>
              <w:right w:val="single" w:color="auto" w:sz="4" w:space="0"/>
            </w:tcBorders>
            <w:vAlign w:val="center"/>
          </w:tcPr>
          <w:p>
            <w:pPr>
              <w:spacing w:line="584" w:lineRule="exact"/>
              <w:jc w:val="center"/>
              <w:rPr>
                <w:rFonts w:ascii="Times New Roman" w:hAnsi="Times New Roman" w:eastAsia="仿宋_GB2312"/>
                <w:sz w:val="22"/>
              </w:rPr>
            </w:pPr>
            <w:r>
              <w:rPr>
                <w:rFonts w:ascii="Times New Roman" w:hAnsi="Times New Roman" w:eastAsia="仿宋_GB2312"/>
                <w:sz w:val="22"/>
              </w:rPr>
              <w:t>---</w:t>
            </w:r>
          </w:p>
        </w:tc>
        <w:tc>
          <w:tcPr>
            <w:tcW w:w="5103" w:type="dxa"/>
            <w:tcBorders>
              <w:top w:val="nil"/>
              <w:left w:val="nil"/>
              <w:bottom w:val="single" w:color="auto" w:sz="4" w:space="0"/>
              <w:right w:val="single" w:color="auto" w:sz="4" w:space="0"/>
            </w:tcBorders>
            <w:vAlign w:val="center"/>
          </w:tcPr>
          <w:p>
            <w:pPr>
              <w:spacing w:line="584" w:lineRule="exact"/>
              <w:jc w:val="center"/>
              <w:rPr>
                <w:rFonts w:hint="default" w:ascii="Times New Roman" w:hAnsi="Times New Roman" w:eastAsia="仿宋_GB2312"/>
                <w:sz w:val="22"/>
                <w:lang w:val="en-US" w:eastAsia="zh-CN"/>
              </w:rPr>
            </w:pPr>
            <w:r>
              <w:rPr>
                <w:rFonts w:hint="eastAsia" w:ascii="Times New Roman" w:hAnsi="Times New Roman" w:eastAsia="仿宋_GB2312"/>
                <w:sz w:val="22"/>
                <w:lang w:val="en-US" w:eastAsia="zh-CN"/>
              </w:rPr>
              <w:t>477.19</w:t>
            </w:r>
          </w:p>
        </w:tc>
      </w:tr>
      <w:tr>
        <w:tblPrEx>
          <w:tblCellMar>
            <w:top w:w="0" w:type="dxa"/>
            <w:left w:w="108" w:type="dxa"/>
            <w:bottom w:w="0" w:type="dxa"/>
            <w:right w:w="108" w:type="dxa"/>
          </w:tblCellMar>
        </w:tblPrEx>
        <w:trPr>
          <w:trHeight w:val="567" w:hRule="exact"/>
        </w:trPr>
        <w:tc>
          <w:tcPr>
            <w:tcW w:w="5224" w:type="dxa"/>
            <w:tcBorders>
              <w:top w:val="nil"/>
              <w:left w:val="single" w:color="auto" w:sz="4" w:space="0"/>
              <w:bottom w:val="single" w:color="auto" w:sz="4" w:space="0"/>
              <w:right w:val="single" w:color="auto" w:sz="4" w:space="0"/>
            </w:tcBorders>
            <w:vAlign w:val="center"/>
          </w:tcPr>
          <w:p>
            <w:pPr>
              <w:widowControl/>
              <w:spacing w:line="584" w:lineRule="exact"/>
              <w:jc w:val="center"/>
              <w:rPr>
                <w:rFonts w:ascii="Times New Roman" w:hAnsi="Times New Roman" w:eastAsia="仿宋_GB2312"/>
                <w:kern w:val="0"/>
                <w:sz w:val="22"/>
              </w:rPr>
            </w:pPr>
            <w:r>
              <w:rPr>
                <w:rFonts w:ascii="Times New Roman" w:hAnsi="Times New Roman" w:eastAsia="仿宋_GB2312"/>
                <w:kern w:val="0"/>
                <w:sz w:val="22"/>
              </w:rPr>
              <w:t>1</w:t>
            </w:r>
            <w:r>
              <w:rPr>
                <w:rFonts w:hint="eastAsia" w:ascii="Times New Roman" w:hAnsi="Times New Roman" w:eastAsia="仿宋_GB2312"/>
                <w:kern w:val="0"/>
                <w:sz w:val="22"/>
              </w:rPr>
              <w:t>、房屋（平方米）</w:t>
            </w:r>
          </w:p>
        </w:tc>
        <w:tc>
          <w:tcPr>
            <w:tcW w:w="3155" w:type="dxa"/>
            <w:tcBorders>
              <w:top w:val="nil"/>
              <w:left w:val="nil"/>
              <w:bottom w:val="single" w:color="auto" w:sz="4" w:space="0"/>
              <w:right w:val="single" w:color="auto" w:sz="4" w:space="0"/>
            </w:tcBorders>
            <w:vAlign w:val="center"/>
          </w:tcPr>
          <w:p>
            <w:pPr>
              <w:spacing w:line="584" w:lineRule="exact"/>
              <w:jc w:val="center"/>
              <w:rPr>
                <w:rFonts w:hint="default" w:ascii="Times New Roman" w:hAnsi="Times New Roman" w:eastAsia="仿宋_GB2312"/>
                <w:sz w:val="22"/>
                <w:lang w:val="en-US" w:eastAsia="zh-CN"/>
              </w:rPr>
            </w:pPr>
            <w:r>
              <w:rPr>
                <w:rFonts w:hint="eastAsia" w:ascii="Times New Roman" w:hAnsi="Times New Roman" w:eastAsia="仿宋_GB2312"/>
                <w:sz w:val="22"/>
                <w:lang w:val="en-US" w:eastAsia="zh-CN"/>
              </w:rPr>
              <w:t>14781</w:t>
            </w:r>
          </w:p>
        </w:tc>
        <w:tc>
          <w:tcPr>
            <w:tcW w:w="5103" w:type="dxa"/>
            <w:tcBorders>
              <w:top w:val="nil"/>
              <w:left w:val="nil"/>
              <w:bottom w:val="single" w:color="auto" w:sz="4" w:space="0"/>
              <w:right w:val="single" w:color="auto" w:sz="4" w:space="0"/>
            </w:tcBorders>
            <w:vAlign w:val="center"/>
          </w:tcPr>
          <w:p>
            <w:pPr>
              <w:spacing w:line="584" w:lineRule="exact"/>
              <w:jc w:val="center"/>
              <w:rPr>
                <w:rFonts w:hint="default" w:ascii="Times New Roman" w:hAnsi="Times New Roman" w:eastAsia="仿宋_GB2312"/>
                <w:sz w:val="22"/>
                <w:lang w:val="en-US" w:eastAsia="zh-CN"/>
              </w:rPr>
            </w:pPr>
            <w:r>
              <w:rPr>
                <w:rFonts w:hint="eastAsia" w:ascii="Times New Roman" w:hAnsi="Times New Roman" w:eastAsia="仿宋_GB2312"/>
                <w:sz w:val="22"/>
                <w:lang w:val="en-US" w:eastAsia="zh-CN"/>
              </w:rPr>
              <w:t>328</w:t>
            </w:r>
          </w:p>
        </w:tc>
      </w:tr>
      <w:tr>
        <w:tblPrEx>
          <w:tblCellMar>
            <w:top w:w="0" w:type="dxa"/>
            <w:left w:w="108" w:type="dxa"/>
            <w:bottom w:w="0" w:type="dxa"/>
            <w:right w:w="108" w:type="dxa"/>
          </w:tblCellMar>
        </w:tblPrEx>
        <w:trPr>
          <w:trHeight w:val="567" w:hRule="exact"/>
        </w:trPr>
        <w:tc>
          <w:tcPr>
            <w:tcW w:w="5224" w:type="dxa"/>
            <w:tcBorders>
              <w:top w:val="nil"/>
              <w:left w:val="single" w:color="auto" w:sz="4" w:space="0"/>
              <w:bottom w:val="single" w:color="auto" w:sz="4" w:space="0"/>
              <w:right w:val="single" w:color="auto" w:sz="4" w:space="0"/>
            </w:tcBorders>
            <w:vAlign w:val="center"/>
          </w:tcPr>
          <w:p>
            <w:pPr>
              <w:widowControl/>
              <w:spacing w:line="584" w:lineRule="exact"/>
              <w:jc w:val="center"/>
              <w:rPr>
                <w:rFonts w:ascii="Times New Roman" w:hAnsi="Times New Roman" w:eastAsia="仿宋_GB2312"/>
                <w:kern w:val="0"/>
                <w:sz w:val="22"/>
              </w:rPr>
            </w:pPr>
            <w:r>
              <w:rPr>
                <w:rFonts w:hint="eastAsia" w:ascii="Times New Roman" w:hAnsi="Times New Roman" w:eastAsia="仿宋_GB2312"/>
                <w:kern w:val="0"/>
                <w:sz w:val="22"/>
              </w:rPr>
              <w:t>其中：办公用房（平方米）</w:t>
            </w:r>
          </w:p>
        </w:tc>
        <w:tc>
          <w:tcPr>
            <w:tcW w:w="3155" w:type="dxa"/>
            <w:tcBorders>
              <w:top w:val="nil"/>
              <w:left w:val="nil"/>
              <w:bottom w:val="single" w:color="auto" w:sz="4" w:space="0"/>
              <w:right w:val="single" w:color="auto" w:sz="4" w:space="0"/>
            </w:tcBorders>
            <w:vAlign w:val="center"/>
          </w:tcPr>
          <w:p>
            <w:pPr>
              <w:spacing w:line="584" w:lineRule="exact"/>
              <w:jc w:val="center"/>
              <w:rPr>
                <w:rFonts w:hint="default" w:ascii="Times New Roman" w:hAnsi="Times New Roman" w:eastAsia="仿宋_GB2312"/>
                <w:sz w:val="22"/>
                <w:lang w:val="en-US" w:eastAsia="zh-CN"/>
              </w:rPr>
            </w:pPr>
            <w:r>
              <w:rPr>
                <w:rFonts w:hint="eastAsia" w:ascii="Times New Roman" w:hAnsi="Times New Roman" w:eastAsia="仿宋_GB2312"/>
                <w:sz w:val="22"/>
                <w:lang w:val="en-US" w:eastAsia="zh-CN"/>
              </w:rPr>
              <w:t>6898</w:t>
            </w:r>
          </w:p>
        </w:tc>
        <w:tc>
          <w:tcPr>
            <w:tcW w:w="5103" w:type="dxa"/>
            <w:tcBorders>
              <w:top w:val="nil"/>
              <w:left w:val="nil"/>
              <w:bottom w:val="single" w:color="auto" w:sz="4" w:space="0"/>
              <w:right w:val="single" w:color="auto" w:sz="4" w:space="0"/>
            </w:tcBorders>
            <w:vAlign w:val="center"/>
          </w:tcPr>
          <w:p>
            <w:pPr>
              <w:spacing w:line="584" w:lineRule="exact"/>
              <w:jc w:val="center"/>
              <w:rPr>
                <w:rFonts w:hint="default" w:ascii="Times New Roman" w:hAnsi="Times New Roman" w:eastAsia="仿宋_GB2312"/>
                <w:sz w:val="22"/>
                <w:lang w:val="en-US" w:eastAsia="zh-CN"/>
              </w:rPr>
            </w:pPr>
            <w:r>
              <w:rPr>
                <w:rFonts w:hint="eastAsia" w:ascii="Times New Roman" w:hAnsi="Times New Roman" w:eastAsia="仿宋_GB2312"/>
                <w:sz w:val="22"/>
                <w:lang w:val="en-US" w:eastAsia="zh-CN"/>
              </w:rPr>
              <w:t>28</w:t>
            </w:r>
          </w:p>
        </w:tc>
      </w:tr>
      <w:tr>
        <w:tblPrEx>
          <w:tblCellMar>
            <w:top w:w="0" w:type="dxa"/>
            <w:left w:w="108" w:type="dxa"/>
            <w:bottom w:w="0" w:type="dxa"/>
            <w:right w:w="108" w:type="dxa"/>
          </w:tblCellMar>
        </w:tblPrEx>
        <w:trPr>
          <w:trHeight w:val="1507" w:hRule="exact"/>
        </w:trPr>
        <w:tc>
          <w:tcPr>
            <w:tcW w:w="5224" w:type="dxa"/>
            <w:tcBorders>
              <w:top w:val="nil"/>
              <w:left w:val="single" w:color="auto" w:sz="4" w:space="0"/>
              <w:bottom w:val="single" w:color="auto" w:sz="4" w:space="0"/>
              <w:right w:val="single" w:color="auto" w:sz="4" w:space="0"/>
            </w:tcBorders>
            <w:vAlign w:val="center"/>
          </w:tcPr>
          <w:p>
            <w:pPr>
              <w:widowControl/>
              <w:spacing w:line="584" w:lineRule="exact"/>
              <w:jc w:val="center"/>
              <w:rPr>
                <w:rFonts w:ascii="Times New Roman" w:hAnsi="Times New Roman" w:eastAsia="仿宋_GB2312"/>
                <w:kern w:val="0"/>
                <w:sz w:val="22"/>
              </w:rPr>
            </w:pPr>
            <w:r>
              <w:rPr>
                <w:rFonts w:ascii="Times New Roman" w:hAnsi="Times New Roman" w:eastAsia="仿宋_GB2312"/>
                <w:kern w:val="0"/>
                <w:sz w:val="22"/>
              </w:rPr>
              <w:t>2</w:t>
            </w:r>
            <w:r>
              <w:rPr>
                <w:rFonts w:hint="eastAsia" w:ascii="Times New Roman" w:hAnsi="Times New Roman" w:eastAsia="仿宋_GB2312"/>
                <w:kern w:val="0"/>
                <w:sz w:val="22"/>
              </w:rPr>
              <w:t>、车辆（台、辆）</w:t>
            </w:r>
          </w:p>
        </w:tc>
        <w:tc>
          <w:tcPr>
            <w:tcW w:w="3155" w:type="dxa"/>
            <w:tcBorders>
              <w:top w:val="nil"/>
              <w:left w:val="nil"/>
              <w:bottom w:val="single" w:color="auto" w:sz="4" w:space="0"/>
              <w:right w:val="single" w:color="auto" w:sz="4" w:space="0"/>
            </w:tcBorders>
          </w:tcPr>
          <w:p>
            <w:pPr>
              <w:pStyle w:val="10"/>
              <w:widowControl/>
              <w:spacing w:before="0" w:beforeAutospacing="0" w:after="0" w:afterAutospacing="0" w:line="405" w:lineRule="atLeast"/>
              <w:jc w:val="both"/>
              <w:rPr>
                <w:rFonts w:ascii="Times New Roman" w:hAnsi="Times New Roman" w:eastAsia="仿宋_GB2312"/>
                <w:sz w:val="22"/>
              </w:rPr>
            </w:pPr>
            <w:r>
              <w:rPr>
                <w:rFonts w:hint="eastAsia" w:ascii="Arial Unicode MS" w:hAnsi="宋体" w:eastAsia="Arial Unicode MS" w:cs="仿宋_GB2312"/>
                <w:color w:val="333333"/>
                <w:szCs w:val="24"/>
                <w:shd w:val="clear" w:color="auto" w:fill="FFFFFF"/>
                <w:lang w:val="en-US" w:eastAsia="zh-CN"/>
              </w:rPr>
              <w:t>10</w:t>
            </w:r>
            <w:r>
              <w:rPr>
                <w:rFonts w:hint="eastAsia" w:ascii="Arial Unicode MS" w:hAnsi="宋体" w:eastAsia="Arial Unicode MS" w:cs="仿宋_GB2312"/>
                <w:color w:val="333333"/>
                <w:szCs w:val="24"/>
                <w:shd w:val="clear" w:color="auto" w:fill="FFFFFF"/>
              </w:rPr>
              <w:t>（其中包括</w:t>
            </w:r>
            <w:r>
              <w:rPr>
                <w:rFonts w:hint="eastAsia" w:ascii="Arial Unicode MS" w:hAnsi="宋体" w:eastAsia="Arial Unicode MS" w:cs="仿宋_GB2312"/>
                <w:color w:val="333333"/>
                <w:szCs w:val="24"/>
                <w:shd w:val="clear" w:color="auto" w:fill="FFFFFF"/>
                <w:lang w:eastAsia="zh-CN"/>
              </w:rPr>
              <w:t>小型载客汽车</w:t>
            </w:r>
            <w:r>
              <w:rPr>
                <w:rFonts w:hint="eastAsia" w:ascii="Arial Unicode MS" w:hAnsi="宋体" w:eastAsia="Arial Unicode MS" w:cs="仿宋_GB2312"/>
                <w:color w:val="333333"/>
                <w:szCs w:val="24"/>
                <w:shd w:val="clear" w:color="auto" w:fill="FFFFFF"/>
                <w:lang w:val="en-US" w:eastAsia="zh-CN"/>
              </w:rPr>
              <w:t>1辆，其他车型9辆</w:t>
            </w:r>
            <w:r>
              <w:rPr>
                <w:rFonts w:hint="eastAsia" w:ascii="Arial Unicode MS" w:hAnsi="宋体" w:eastAsia="Arial Unicode MS" w:cs="仿宋_GB2312"/>
                <w:color w:val="333333"/>
                <w:szCs w:val="24"/>
                <w:shd w:val="clear" w:color="auto" w:fill="FFFFFF"/>
              </w:rPr>
              <w:t>）</w:t>
            </w:r>
          </w:p>
        </w:tc>
        <w:tc>
          <w:tcPr>
            <w:tcW w:w="5103" w:type="dxa"/>
            <w:tcBorders>
              <w:top w:val="nil"/>
              <w:left w:val="nil"/>
              <w:bottom w:val="single" w:color="auto" w:sz="4" w:space="0"/>
              <w:right w:val="single" w:color="auto" w:sz="4" w:space="0"/>
            </w:tcBorders>
            <w:vAlign w:val="center"/>
          </w:tcPr>
          <w:p>
            <w:pPr>
              <w:spacing w:line="584" w:lineRule="exact"/>
              <w:jc w:val="center"/>
              <w:rPr>
                <w:rFonts w:hint="default" w:ascii="Times New Roman" w:hAnsi="Times New Roman" w:eastAsia="仿宋_GB2312"/>
                <w:sz w:val="22"/>
                <w:lang w:val="en-US" w:eastAsia="zh-CN"/>
              </w:rPr>
            </w:pPr>
            <w:r>
              <w:rPr>
                <w:rFonts w:hint="eastAsia" w:ascii="Times New Roman" w:hAnsi="Times New Roman" w:eastAsia="仿宋_GB2312"/>
                <w:sz w:val="22"/>
                <w:lang w:val="en-US" w:eastAsia="zh-CN"/>
              </w:rPr>
              <w:t>40.54</w:t>
            </w:r>
          </w:p>
        </w:tc>
      </w:tr>
      <w:tr>
        <w:tblPrEx>
          <w:tblCellMar>
            <w:top w:w="0" w:type="dxa"/>
            <w:left w:w="108" w:type="dxa"/>
            <w:bottom w:w="0" w:type="dxa"/>
            <w:right w:w="108" w:type="dxa"/>
          </w:tblCellMar>
        </w:tblPrEx>
        <w:trPr>
          <w:trHeight w:val="567" w:hRule="exact"/>
        </w:trPr>
        <w:tc>
          <w:tcPr>
            <w:tcW w:w="5224" w:type="dxa"/>
            <w:tcBorders>
              <w:top w:val="nil"/>
              <w:left w:val="single" w:color="auto" w:sz="4" w:space="0"/>
              <w:bottom w:val="single" w:color="auto" w:sz="4" w:space="0"/>
              <w:right w:val="single" w:color="auto" w:sz="4" w:space="0"/>
            </w:tcBorders>
            <w:vAlign w:val="center"/>
          </w:tcPr>
          <w:p>
            <w:pPr>
              <w:widowControl/>
              <w:spacing w:line="584" w:lineRule="exact"/>
              <w:jc w:val="center"/>
              <w:rPr>
                <w:rFonts w:ascii="Times New Roman" w:hAnsi="Times New Roman" w:eastAsia="仿宋_GB2312"/>
                <w:kern w:val="0"/>
                <w:sz w:val="22"/>
              </w:rPr>
            </w:pPr>
            <w:r>
              <w:rPr>
                <w:rFonts w:ascii="Times New Roman" w:hAnsi="Times New Roman" w:eastAsia="仿宋_GB2312"/>
                <w:kern w:val="0"/>
                <w:sz w:val="22"/>
              </w:rPr>
              <w:t>3</w:t>
            </w:r>
            <w:r>
              <w:rPr>
                <w:rFonts w:hint="eastAsia" w:ascii="Times New Roman" w:hAnsi="Times New Roman" w:eastAsia="仿宋_GB2312"/>
                <w:kern w:val="0"/>
                <w:sz w:val="22"/>
              </w:rPr>
              <w:t>、单价在</w:t>
            </w:r>
            <w:r>
              <w:rPr>
                <w:rFonts w:ascii="Times New Roman" w:hAnsi="Times New Roman" w:eastAsia="仿宋_GB2312"/>
                <w:kern w:val="0"/>
                <w:sz w:val="22"/>
              </w:rPr>
              <w:t>20</w:t>
            </w:r>
            <w:r>
              <w:rPr>
                <w:rFonts w:hint="eastAsia" w:ascii="Times New Roman" w:hAnsi="Times New Roman" w:eastAsia="仿宋_GB2312"/>
                <w:kern w:val="0"/>
                <w:sz w:val="22"/>
              </w:rPr>
              <w:t>万元以上的设备</w:t>
            </w:r>
          </w:p>
        </w:tc>
        <w:tc>
          <w:tcPr>
            <w:tcW w:w="3155" w:type="dxa"/>
            <w:tcBorders>
              <w:top w:val="nil"/>
              <w:left w:val="nil"/>
              <w:bottom w:val="single" w:color="auto" w:sz="4" w:space="0"/>
              <w:right w:val="single" w:color="auto" w:sz="4" w:space="0"/>
            </w:tcBorders>
            <w:vAlign w:val="center"/>
          </w:tcPr>
          <w:p>
            <w:pPr>
              <w:spacing w:line="584" w:lineRule="exact"/>
              <w:jc w:val="center"/>
              <w:rPr>
                <w:rFonts w:ascii="Times New Roman" w:hAnsi="Times New Roman" w:eastAsia="仿宋_GB2312"/>
                <w:sz w:val="22"/>
              </w:rPr>
            </w:pPr>
          </w:p>
        </w:tc>
        <w:tc>
          <w:tcPr>
            <w:tcW w:w="5103" w:type="dxa"/>
            <w:tcBorders>
              <w:top w:val="nil"/>
              <w:left w:val="nil"/>
              <w:bottom w:val="single" w:color="auto" w:sz="4" w:space="0"/>
              <w:right w:val="single" w:color="auto" w:sz="4" w:space="0"/>
            </w:tcBorders>
            <w:vAlign w:val="center"/>
          </w:tcPr>
          <w:p>
            <w:pPr>
              <w:spacing w:line="584" w:lineRule="exact"/>
              <w:jc w:val="center"/>
              <w:rPr>
                <w:rFonts w:ascii="Times New Roman" w:hAnsi="Times New Roman" w:eastAsia="仿宋_GB2312"/>
                <w:sz w:val="22"/>
              </w:rPr>
            </w:pPr>
          </w:p>
        </w:tc>
      </w:tr>
      <w:tr>
        <w:tblPrEx>
          <w:tblCellMar>
            <w:top w:w="0" w:type="dxa"/>
            <w:left w:w="108" w:type="dxa"/>
            <w:bottom w:w="0" w:type="dxa"/>
            <w:right w:w="108" w:type="dxa"/>
          </w:tblCellMar>
        </w:tblPrEx>
        <w:trPr>
          <w:trHeight w:val="567" w:hRule="exact"/>
        </w:trPr>
        <w:tc>
          <w:tcPr>
            <w:tcW w:w="5224" w:type="dxa"/>
            <w:tcBorders>
              <w:top w:val="nil"/>
              <w:left w:val="single" w:color="auto" w:sz="4" w:space="0"/>
              <w:bottom w:val="single" w:color="auto" w:sz="4" w:space="0"/>
              <w:right w:val="single" w:color="auto" w:sz="4" w:space="0"/>
            </w:tcBorders>
            <w:vAlign w:val="center"/>
          </w:tcPr>
          <w:p>
            <w:pPr>
              <w:widowControl/>
              <w:spacing w:line="584" w:lineRule="exact"/>
              <w:jc w:val="center"/>
              <w:rPr>
                <w:rFonts w:ascii="Times New Roman" w:hAnsi="Times New Roman" w:eastAsia="仿宋_GB2312"/>
                <w:kern w:val="0"/>
                <w:sz w:val="22"/>
              </w:rPr>
            </w:pPr>
            <w:r>
              <w:rPr>
                <w:rFonts w:ascii="Times New Roman" w:hAnsi="Times New Roman" w:eastAsia="仿宋_GB2312"/>
                <w:kern w:val="0"/>
                <w:sz w:val="22"/>
              </w:rPr>
              <w:t>4</w:t>
            </w:r>
            <w:r>
              <w:rPr>
                <w:rFonts w:hint="eastAsia" w:ascii="Times New Roman" w:hAnsi="Times New Roman" w:eastAsia="仿宋_GB2312"/>
                <w:kern w:val="0"/>
                <w:sz w:val="22"/>
              </w:rPr>
              <w:t>、其他固定资产</w:t>
            </w:r>
          </w:p>
        </w:tc>
        <w:tc>
          <w:tcPr>
            <w:tcW w:w="3155" w:type="dxa"/>
            <w:tcBorders>
              <w:top w:val="nil"/>
              <w:left w:val="nil"/>
              <w:bottom w:val="single" w:color="auto" w:sz="4" w:space="0"/>
              <w:right w:val="single" w:color="auto" w:sz="4" w:space="0"/>
            </w:tcBorders>
            <w:vAlign w:val="center"/>
          </w:tcPr>
          <w:p>
            <w:pPr>
              <w:spacing w:line="584" w:lineRule="exact"/>
              <w:jc w:val="center"/>
              <w:rPr>
                <w:rFonts w:ascii="Times New Roman" w:hAnsi="Times New Roman" w:eastAsia="仿宋_GB2312"/>
                <w:sz w:val="22"/>
              </w:rPr>
            </w:pPr>
          </w:p>
        </w:tc>
        <w:tc>
          <w:tcPr>
            <w:tcW w:w="5103" w:type="dxa"/>
            <w:tcBorders>
              <w:top w:val="nil"/>
              <w:left w:val="nil"/>
              <w:bottom w:val="single" w:color="auto" w:sz="4" w:space="0"/>
              <w:right w:val="single" w:color="auto" w:sz="4" w:space="0"/>
            </w:tcBorders>
            <w:vAlign w:val="center"/>
          </w:tcPr>
          <w:p>
            <w:pPr>
              <w:spacing w:line="584" w:lineRule="exact"/>
              <w:jc w:val="center"/>
              <w:rPr>
                <w:rFonts w:hint="default" w:ascii="Times New Roman" w:hAnsi="Times New Roman" w:eastAsia="仿宋_GB2312"/>
                <w:sz w:val="22"/>
                <w:lang w:val="en-US" w:eastAsia="zh-CN"/>
              </w:rPr>
            </w:pPr>
            <w:r>
              <w:rPr>
                <w:rFonts w:hint="eastAsia" w:ascii="Times New Roman" w:hAnsi="Times New Roman" w:eastAsia="仿宋_GB2312"/>
                <w:sz w:val="22"/>
                <w:lang w:val="en-US" w:eastAsia="zh-CN"/>
              </w:rPr>
              <w:t>108.65</w:t>
            </w:r>
          </w:p>
        </w:tc>
      </w:tr>
    </w:tbl>
    <w:p>
      <w:pPr>
        <w:autoSpaceDE w:val="0"/>
        <w:autoSpaceDN w:val="0"/>
        <w:adjustRightInd w:val="0"/>
        <w:spacing w:line="584" w:lineRule="exact"/>
        <w:ind w:firstLine="640" w:firstLineChars="200"/>
        <w:jc w:val="left"/>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八、名词解释</w:t>
      </w:r>
    </w:p>
    <w:p>
      <w:pPr>
        <w:tabs>
          <w:tab w:val="left" w:pos="11490"/>
        </w:tabs>
        <w:spacing w:line="584" w:lineRule="exact"/>
        <w:ind w:firstLine="643" w:firstLineChars="200"/>
        <w:rPr>
          <w:rFonts w:ascii="Times New Roman" w:hAnsi="Times New Roman" w:eastAsia="仿宋_GB2312"/>
          <w:sz w:val="32"/>
          <w:szCs w:val="32"/>
        </w:rPr>
      </w:pPr>
      <w:r>
        <w:rPr>
          <w:rFonts w:ascii="Times New Roman" w:hAnsi="Times New Roman" w:eastAsia="仿宋_GB2312"/>
          <w:b/>
          <w:sz w:val="32"/>
          <w:szCs w:val="32"/>
        </w:rPr>
        <w:t>1</w:t>
      </w:r>
      <w:r>
        <w:rPr>
          <w:rFonts w:hint="eastAsia" w:ascii="Times New Roman" w:hAnsi="Times New Roman" w:eastAsia="仿宋_GB2312"/>
          <w:b/>
          <w:sz w:val="32"/>
          <w:szCs w:val="32"/>
        </w:rPr>
        <w:t>、一般公共预算拨款收入：</w:t>
      </w:r>
      <w:r>
        <w:rPr>
          <w:rFonts w:hint="eastAsia" w:ascii="Times New Roman" w:hAnsi="Times New Roman" w:eastAsia="仿宋_GB2312"/>
          <w:sz w:val="32"/>
          <w:szCs w:val="32"/>
        </w:rPr>
        <w:t>指县级财政当年拨付的资金。</w:t>
      </w:r>
    </w:p>
    <w:p>
      <w:pPr>
        <w:tabs>
          <w:tab w:val="left" w:pos="11490"/>
        </w:tabs>
        <w:spacing w:line="584" w:lineRule="exact"/>
        <w:ind w:firstLine="643" w:firstLineChars="200"/>
        <w:rPr>
          <w:rFonts w:ascii="Times New Roman" w:hAnsi="Times New Roman" w:eastAsia="仿宋_GB2312"/>
          <w:sz w:val="32"/>
          <w:szCs w:val="32"/>
        </w:rPr>
      </w:pPr>
      <w:r>
        <w:rPr>
          <w:rFonts w:ascii="Times New Roman" w:hAnsi="Times New Roman" w:eastAsia="仿宋_GB2312"/>
          <w:b/>
          <w:sz w:val="32"/>
          <w:szCs w:val="32"/>
        </w:rPr>
        <w:t>2</w:t>
      </w:r>
      <w:r>
        <w:rPr>
          <w:rFonts w:hint="eastAsia" w:ascii="Times New Roman" w:hAnsi="Times New Roman" w:eastAsia="仿宋_GB2312"/>
          <w:b/>
          <w:sz w:val="32"/>
          <w:szCs w:val="32"/>
        </w:rPr>
        <w:t>、事业收入：</w:t>
      </w:r>
      <w:r>
        <w:rPr>
          <w:rFonts w:hint="eastAsia" w:ascii="Times New Roman" w:hAnsi="Times New Roman" w:eastAsia="仿宋_GB2312"/>
          <w:sz w:val="32"/>
          <w:szCs w:val="32"/>
        </w:rPr>
        <w:t>指事业单位开展专业业务活动及辅助活动所取得的收入。</w:t>
      </w:r>
    </w:p>
    <w:p>
      <w:pPr>
        <w:tabs>
          <w:tab w:val="left" w:pos="11490"/>
        </w:tabs>
        <w:spacing w:line="584" w:lineRule="exact"/>
        <w:ind w:firstLine="643" w:firstLineChars="200"/>
        <w:rPr>
          <w:rFonts w:ascii="Times New Roman" w:hAnsi="Times New Roman" w:eastAsia="仿宋_GB2312"/>
          <w:b/>
          <w:sz w:val="32"/>
          <w:szCs w:val="32"/>
        </w:rPr>
      </w:pPr>
      <w:r>
        <w:rPr>
          <w:rFonts w:ascii="Times New Roman" w:hAnsi="Times New Roman" w:eastAsia="仿宋_GB2312"/>
          <w:b/>
          <w:sz w:val="32"/>
          <w:szCs w:val="32"/>
        </w:rPr>
        <w:t>3</w:t>
      </w:r>
      <w:r>
        <w:rPr>
          <w:rFonts w:hint="eastAsia" w:ascii="Times New Roman" w:hAnsi="Times New Roman" w:eastAsia="仿宋_GB2312"/>
          <w:b/>
          <w:sz w:val="32"/>
          <w:szCs w:val="32"/>
        </w:rPr>
        <w:t>、其他收入：</w:t>
      </w:r>
      <w:r>
        <w:rPr>
          <w:rFonts w:hint="eastAsia" w:ascii="Times New Roman" w:hAnsi="Times New Roman" w:eastAsia="仿宋_GB2312"/>
          <w:sz w:val="32"/>
          <w:szCs w:val="32"/>
        </w:rPr>
        <w:t>指除</w:t>
      </w:r>
      <w:r>
        <w:rPr>
          <w:rFonts w:ascii="Times New Roman" w:hAnsi="Times New Roman" w:eastAsia="仿宋_GB2312"/>
          <w:sz w:val="32"/>
          <w:szCs w:val="32"/>
        </w:rPr>
        <w:t>“</w:t>
      </w:r>
      <w:r>
        <w:rPr>
          <w:rFonts w:hint="eastAsia" w:ascii="Times New Roman" w:hAnsi="Times New Roman" w:eastAsia="仿宋_GB2312"/>
          <w:sz w:val="32"/>
          <w:szCs w:val="32"/>
        </w:rPr>
        <w:t>一般公共预算拨款收入</w:t>
      </w:r>
      <w:r>
        <w:rPr>
          <w:rFonts w:ascii="Times New Roman" w:hAnsi="Times New Roman" w:eastAsia="仿宋_GB2312"/>
          <w:sz w:val="32"/>
          <w:szCs w:val="32"/>
        </w:rPr>
        <w:t>”</w:t>
      </w:r>
      <w:r>
        <w:rPr>
          <w:rFonts w:hint="eastAsia" w:ascii="Times New Roman" w:hAnsi="Times New Roman" w:eastAsia="仿宋_GB2312"/>
          <w:sz w:val="32"/>
          <w:szCs w:val="32"/>
        </w:rPr>
        <w:t>、</w:t>
      </w:r>
      <w:r>
        <w:rPr>
          <w:rFonts w:ascii="Times New Roman" w:hAnsi="Times New Roman" w:eastAsia="仿宋_GB2312"/>
          <w:sz w:val="32"/>
          <w:szCs w:val="32"/>
        </w:rPr>
        <w:t>“</w:t>
      </w:r>
      <w:r>
        <w:rPr>
          <w:rFonts w:hint="eastAsia" w:ascii="Times New Roman" w:hAnsi="Times New Roman" w:eastAsia="仿宋_GB2312"/>
          <w:sz w:val="32"/>
          <w:szCs w:val="32"/>
        </w:rPr>
        <w:t>事业收入</w:t>
      </w:r>
      <w:r>
        <w:rPr>
          <w:rFonts w:ascii="Times New Roman" w:hAnsi="Times New Roman" w:eastAsia="仿宋_GB2312"/>
          <w:sz w:val="32"/>
          <w:szCs w:val="32"/>
        </w:rPr>
        <w:t>”</w:t>
      </w:r>
      <w:r>
        <w:rPr>
          <w:rFonts w:hint="eastAsia" w:ascii="Times New Roman" w:hAnsi="Times New Roman" w:eastAsia="仿宋_GB2312"/>
          <w:sz w:val="32"/>
          <w:szCs w:val="32"/>
        </w:rPr>
        <w:t>等以外的收入。主要是按规定动用的租房收入、存款利息收入等。</w:t>
      </w:r>
    </w:p>
    <w:p>
      <w:pPr>
        <w:tabs>
          <w:tab w:val="left" w:pos="11490"/>
        </w:tabs>
        <w:spacing w:line="584" w:lineRule="exact"/>
        <w:ind w:firstLine="643" w:firstLineChars="200"/>
        <w:rPr>
          <w:rFonts w:ascii="Times New Roman" w:hAnsi="Times New Roman" w:eastAsia="仿宋_GB2312"/>
          <w:sz w:val="32"/>
          <w:szCs w:val="32"/>
        </w:rPr>
      </w:pPr>
      <w:r>
        <w:rPr>
          <w:rFonts w:ascii="Times New Roman" w:hAnsi="Times New Roman" w:eastAsia="仿宋_GB2312"/>
          <w:b/>
          <w:sz w:val="32"/>
          <w:szCs w:val="32"/>
        </w:rPr>
        <w:t>4</w:t>
      </w:r>
      <w:r>
        <w:rPr>
          <w:rFonts w:hint="eastAsia" w:ascii="Times New Roman" w:hAnsi="Times New Roman" w:eastAsia="仿宋_GB2312"/>
          <w:b/>
          <w:sz w:val="32"/>
          <w:szCs w:val="32"/>
        </w:rPr>
        <w:t>、基本支出：</w:t>
      </w:r>
      <w:r>
        <w:rPr>
          <w:rFonts w:hint="eastAsia" w:ascii="Times New Roman" w:hAnsi="Times New Roman" w:eastAsia="仿宋_GB2312"/>
          <w:sz w:val="32"/>
          <w:szCs w:val="32"/>
        </w:rPr>
        <w:t>指为保障机构正常运转、完成日常工作任务而发生的人员支出和公用支出。</w:t>
      </w:r>
    </w:p>
    <w:p>
      <w:pPr>
        <w:tabs>
          <w:tab w:val="left" w:pos="11490"/>
        </w:tabs>
        <w:spacing w:line="584" w:lineRule="exact"/>
        <w:ind w:firstLine="643" w:firstLineChars="200"/>
        <w:rPr>
          <w:rFonts w:ascii="Times New Roman" w:hAnsi="Times New Roman" w:eastAsia="仿宋_GB2312"/>
          <w:sz w:val="32"/>
          <w:szCs w:val="32"/>
        </w:rPr>
      </w:pPr>
      <w:r>
        <w:rPr>
          <w:rFonts w:ascii="Times New Roman" w:hAnsi="Times New Roman" w:eastAsia="仿宋_GB2312"/>
          <w:b/>
          <w:sz w:val="32"/>
          <w:szCs w:val="32"/>
        </w:rPr>
        <w:t>5</w:t>
      </w:r>
      <w:r>
        <w:rPr>
          <w:rFonts w:hint="eastAsia" w:ascii="Times New Roman" w:hAnsi="Times New Roman" w:eastAsia="仿宋_GB2312"/>
          <w:b/>
          <w:sz w:val="32"/>
          <w:szCs w:val="32"/>
        </w:rPr>
        <w:t>、项目支出：</w:t>
      </w:r>
      <w:r>
        <w:rPr>
          <w:rFonts w:hint="eastAsia" w:ascii="Times New Roman" w:hAnsi="Times New Roman" w:eastAsia="仿宋_GB2312"/>
          <w:sz w:val="32"/>
          <w:szCs w:val="32"/>
        </w:rPr>
        <w:t>指在基本支出之外为完成特定行政任务和事业发展目标所发生的支出。</w:t>
      </w:r>
    </w:p>
    <w:p>
      <w:pPr>
        <w:tabs>
          <w:tab w:val="left" w:pos="11490"/>
        </w:tabs>
        <w:spacing w:line="584" w:lineRule="exact"/>
        <w:ind w:firstLine="643" w:firstLineChars="200"/>
        <w:rPr>
          <w:rFonts w:ascii="Times New Roman" w:hAnsi="Times New Roman" w:eastAsia="仿宋_GB2312"/>
          <w:sz w:val="32"/>
          <w:szCs w:val="32"/>
        </w:rPr>
      </w:pPr>
      <w:r>
        <w:rPr>
          <w:rFonts w:ascii="Times New Roman" w:hAnsi="Times New Roman" w:eastAsia="仿宋_GB2312"/>
          <w:b/>
          <w:sz w:val="32"/>
          <w:szCs w:val="32"/>
        </w:rPr>
        <w:t>6</w:t>
      </w:r>
      <w:r>
        <w:rPr>
          <w:rFonts w:hint="eastAsia" w:ascii="Times New Roman" w:hAnsi="Times New Roman" w:eastAsia="仿宋_GB2312"/>
          <w:b/>
          <w:sz w:val="32"/>
          <w:szCs w:val="32"/>
        </w:rPr>
        <w:t>、上缴上级支出：</w:t>
      </w:r>
      <w:r>
        <w:rPr>
          <w:rFonts w:hint="eastAsia" w:ascii="Times New Roman" w:hAnsi="Times New Roman" w:eastAsia="仿宋_GB2312"/>
          <w:sz w:val="32"/>
          <w:szCs w:val="32"/>
        </w:rPr>
        <w:t>指下级单位上缴上级的支出。</w:t>
      </w:r>
    </w:p>
    <w:p>
      <w:pPr>
        <w:tabs>
          <w:tab w:val="left" w:pos="11490"/>
        </w:tabs>
        <w:spacing w:line="584" w:lineRule="exact"/>
        <w:ind w:firstLine="643" w:firstLineChars="200"/>
        <w:rPr>
          <w:rFonts w:ascii="Times New Roman" w:hAnsi="Times New Roman" w:eastAsia="仿宋_GB2312"/>
          <w:sz w:val="32"/>
          <w:szCs w:val="32"/>
        </w:rPr>
      </w:pPr>
      <w:r>
        <w:rPr>
          <w:rFonts w:ascii="Times New Roman" w:hAnsi="Times New Roman" w:eastAsia="仿宋_GB2312"/>
          <w:b/>
          <w:sz w:val="32"/>
          <w:szCs w:val="32"/>
        </w:rPr>
        <w:t>7</w:t>
      </w:r>
      <w:r>
        <w:rPr>
          <w:rFonts w:hint="eastAsia" w:ascii="Times New Roman" w:hAnsi="Times New Roman" w:eastAsia="仿宋_GB2312"/>
          <w:b/>
          <w:sz w:val="32"/>
          <w:szCs w:val="32"/>
        </w:rPr>
        <w:t>、</w:t>
      </w:r>
      <w:r>
        <w:rPr>
          <w:rFonts w:ascii="Times New Roman" w:hAnsi="Times New Roman" w:eastAsia="仿宋_GB2312"/>
          <w:b/>
          <w:sz w:val="32"/>
          <w:szCs w:val="32"/>
        </w:rPr>
        <w:t>“</w:t>
      </w:r>
      <w:r>
        <w:rPr>
          <w:rFonts w:hint="eastAsia" w:ascii="Times New Roman" w:hAnsi="Times New Roman" w:eastAsia="仿宋_GB2312"/>
          <w:b/>
          <w:sz w:val="32"/>
          <w:szCs w:val="32"/>
        </w:rPr>
        <w:t>三公</w:t>
      </w:r>
      <w:r>
        <w:rPr>
          <w:rFonts w:ascii="Times New Roman" w:hAnsi="Times New Roman" w:eastAsia="仿宋_GB2312"/>
          <w:b/>
          <w:sz w:val="32"/>
          <w:szCs w:val="32"/>
        </w:rPr>
        <w:t>”</w:t>
      </w:r>
      <w:r>
        <w:rPr>
          <w:rFonts w:hint="eastAsia" w:ascii="Times New Roman" w:hAnsi="Times New Roman" w:eastAsia="仿宋_GB2312"/>
          <w:b/>
          <w:sz w:val="32"/>
          <w:szCs w:val="32"/>
        </w:rPr>
        <w:t>经费：</w:t>
      </w:r>
      <w:r>
        <w:rPr>
          <w:rFonts w:hint="eastAsia" w:ascii="Times New Roman" w:hAnsi="Times New Roman" w:eastAsia="仿宋_GB2312"/>
          <w:sz w:val="32"/>
          <w:szCs w:val="32"/>
        </w:rPr>
        <w:t>纳入县级财政预算管理的</w:t>
      </w:r>
      <w:r>
        <w:rPr>
          <w:rFonts w:ascii="Times New Roman" w:hAnsi="Times New Roman" w:eastAsia="仿宋_GB2312"/>
          <w:sz w:val="32"/>
          <w:szCs w:val="32"/>
        </w:rPr>
        <w:t>“</w:t>
      </w:r>
      <w:r>
        <w:rPr>
          <w:rFonts w:hint="eastAsia" w:ascii="Times New Roman" w:hAnsi="Times New Roman" w:eastAsia="仿宋_GB2312"/>
          <w:sz w:val="32"/>
          <w:szCs w:val="32"/>
        </w:rPr>
        <w:t>三公</w:t>
      </w:r>
      <w:r>
        <w:rPr>
          <w:rFonts w:ascii="Times New Roman" w:hAnsi="Times New Roman" w:eastAsia="仿宋_GB2312"/>
          <w:sz w:val="32"/>
          <w:szCs w:val="32"/>
        </w:rPr>
        <w:t>”</w:t>
      </w:r>
      <w:r>
        <w:rPr>
          <w:rFonts w:hint="eastAsia" w:ascii="Times New Roman" w:hAnsi="Times New Roman" w:eastAsia="仿宋_GB2312"/>
          <w:sz w:val="32"/>
          <w:szCs w:val="32"/>
        </w:rPr>
        <w:t>经费，是指县级部门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tabs>
          <w:tab w:val="left" w:pos="11490"/>
        </w:tabs>
        <w:spacing w:line="584" w:lineRule="exact"/>
        <w:ind w:firstLine="643" w:firstLineChars="200"/>
        <w:rPr>
          <w:rFonts w:ascii="Times New Roman" w:hAnsi="Times New Roman" w:eastAsia="仿宋_GB2312"/>
          <w:sz w:val="32"/>
          <w:szCs w:val="32"/>
        </w:rPr>
      </w:pPr>
      <w:r>
        <w:rPr>
          <w:rFonts w:ascii="Times New Roman" w:hAnsi="Times New Roman" w:eastAsia="仿宋_GB2312"/>
          <w:b/>
          <w:sz w:val="32"/>
          <w:szCs w:val="32"/>
        </w:rPr>
        <w:t>8</w:t>
      </w:r>
      <w:r>
        <w:rPr>
          <w:rFonts w:hint="eastAsia" w:ascii="Times New Roman" w:hAnsi="Times New Roman" w:eastAsia="仿宋_GB2312"/>
          <w:b/>
          <w:sz w:val="32"/>
          <w:szCs w:val="32"/>
        </w:rPr>
        <w:t>、机关运行费：</w:t>
      </w:r>
      <w:r>
        <w:rPr>
          <w:rFonts w:hint="eastAsia" w:ascii="Times New Roman" w:hAnsi="Times New Roman" w:eastAsia="仿宋_GB2312"/>
          <w:sz w:val="32"/>
          <w:szCs w:val="32"/>
        </w:rPr>
        <w:t>为保障全部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tabs>
          <w:tab w:val="left" w:pos="11490"/>
        </w:tabs>
        <w:spacing w:line="584" w:lineRule="exact"/>
        <w:ind w:firstLine="643" w:firstLineChars="200"/>
        <w:rPr>
          <w:rFonts w:ascii="Times New Roman" w:hAnsi="Times New Roman" w:eastAsia="仿宋_GB2312"/>
          <w:sz w:val="32"/>
          <w:szCs w:val="32"/>
        </w:rPr>
      </w:pPr>
      <w:r>
        <w:rPr>
          <w:rFonts w:ascii="Times New Roman" w:hAnsi="Times New Roman" w:eastAsia="仿宋_GB2312"/>
          <w:b/>
          <w:sz w:val="32"/>
          <w:szCs w:val="32"/>
        </w:rPr>
        <w:t>9</w:t>
      </w:r>
      <w:r>
        <w:rPr>
          <w:rFonts w:hint="eastAsia" w:ascii="Times New Roman" w:hAnsi="Times New Roman" w:eastAsia="仿宋_GB2312"/>
          <w:b/>
          <w:sz w:val="32"/>
          <w:szCs w:val="32"/>
        </w:rPr>
        <w:t>、上年结转：</w:t>
      </w:r>
      <w:r>
        <w:rPr>
          <w:rFonts w:hint="eastAsia" w:ascii="Times New Roman" w:hAnsi="Times New Roman" w:eastAsia="仿宋_GB2312"/>
          <w:sz w:val="32"/>
          <w:szCs w:val="32"/>
        </w:rPr>
        <w:t>指以前年度尚未完成、结转到本年仍按原规定用途继续使用的资金。</w:t>
      </w:r>
    </w:p>
    <w:p>
      <w:pPr>
        <w:tabs>
          <w:tab w:val="left" w:pos="11490"/>
        </w:tabs>
        <w:spacing w:line="584" w:lineRule="exact"/>
        <w:ind w:firstLine="643" w:firstLineChars="200"/>
        <w:rPr>
          <w:rFonts w:ascii="Times New Roman" w:hAnsi="Times New Roman" w:eastAsia="仿宋_GB2312"/>
          <w:sz w:val="32"/>
          <w:szCs w:val="32"/>
        </w:rPr>
      </w:pPr>
      <w:r>
        <w:rPr>
          <w:rFonts w:ascii="Times New Roman" w:hAnsi="Times New Roman" w:eastAsia="仿宋_GB2312"/>
          <w:b/>
          <w:sz w:val="32"/>
          <w:szCs w:val="32"/>
        </w:rPr>
        <w:t>10</w:t>
      </w:r>
      <w:r>
        <w:rPr>
          <w:rFonts w:hint="eastAsia" w:ascii="Times New Roman" w:hAnsi="Times New Roman" w:eastAsia="仿宋_GB2312"/>
          <w:b/>
          <w:sz w:val="32"/>
          <w:szCs w:val="32"/>
        </w:rPr>
        <w:t>、事业单位经营支出：</w:t>
      </w:r>
      <w:r>
        <w:rPr>
          <w:rFonts w:hint="eastAsia" w:ascii="Times New Roman" w:hAnsi="Times New Roman" w:eastAsia="仿宋_GB2312"/>
          <w:sz w:val="32"/>
          <w:szCs w:val="32"/>
        </w:rPr>
        <w:t>指事业单位在专业业务活动及其辅助活动之外开展非独立核算经营活动发生的支出。</w:t>
      </w:r>
    </w:p>
    <w:p>
      <w:pPr>
        <w:autoSpaceDE w:val="0"/>
        <w:autoSpaceDN w:val="0"/>
        <w:adjustRightInd w:val="0"/>
        <w:spacing w:line="584" w:lineRule="exact"/>
        <w:ind w:firstLine="640" w:firstLineChars="200"/>
        <w:jc w:val="left"/>
        <w:rPr>
          <w:rFonts w:ascii="Times New Roman" w:hAnsi="Times New Roman" w:eastAsia="黑体"/>
          <w:sz w:val="32"/>
          <w:szCs w:val="32"/>
        </w:rPr>
      </w:pPr>
      <w:r>
        <w:rPr>
          <w:rFonts w:hint="eastAsia" w:ascii="方正黑体简体" w:hAnsi="方正黑体简体" w:eastAsia="方正黑体简体" w:cs="方正黑体简体"/>
          <w:sz w:val="32"/>
          <w:szCs w:val="32"/>
        </w:rPr>
        <w:t>九、其他需要说明的事项</w:t>
      </w:r>
    </w:p>
    <w:p>
      <w:pPr>
        <w:spacing w:line="584"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我部门无其他需要说明的事项。</w:t>
      </w:r>
    </w:p>
    <w:p>
      <w:pPr>
        <w:spacing w:line="584" w:lineRule="exact"/>
        <w:rPr>
          <w:rFonts w:ascii="Times New Roman" w:hAnsi="Times New Roman" w:eastAsia="仿宋_GB2312"/>
          <w:sz w:val="32"/>
          <w:szCs w:val="32"/>
        </w:rPr>
      </w:pPr>
    </w:p>
    <w:p>
      <w:pPr>
        <w:spacing w:line="584" w:lineRule="exact"/>
        <w:ind w:firstLine="643" w:firstLineChars="200"/>
        <w:rPr>
          <w:rFonts w:ascii="Times New Roman" w:hAnsi="Times New Roman" w:eastAsia="仿宋_GB2312"/>
          <w:b/>
          <w:color w:val="FF0000"/>
          <w:sz w:val="32"/>
          <w:szCs w:val="32"/>
        </w:rPr>
      </w:pPr>
    </w:p>
    <w:p>
      <w:pPr>
        <w:spacing w:line="584" w:lineRule="exact"/>
        <w:ind w:firstLine="643" w:firstLineChars="200"/>
        <w:rPr>
          <w:rFonts w:ascii="Times New Roman" w:hAnsi="Times New Roman" w:eastAsia="仿宋_GB2312"/>
          <w:b/>
          <w:color w:val="FF0000"/>
          <w:sz w:val="32"/>
          <w:szCs w:val="32"/>
        </w:rPr>
      </w:pPr>
    </w:p>
    <w:sectPr>
      <w:footerReference r:id="rId3" w:type="default"/>
      <w:pgSz w:w="16838" w:h="11906" w:orient="landscape"/>
      <w:pgMar w:top="1800" w:right="1440" w:bottom="1800" w:left="144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C369CDD-6FB2-4F27-BDED-255BDA848E88}"/>
  </w:font>
  <w:font w:name="Arial">
    <w:panose1 w:val="020B0604020202020204"/>
    <w:charset w:val="01"/>
    <w:family w:val="swiss"/>
    <w:pitch w:val="default"/>
    <w:sig w:usb0="E0002AFF" w:usb1="C0007843" w:usb2="00000009" w:usb3="00000000" w:csb0="400001FF" w:csb1="FFFF0000"/>
    <w:embedRegular r:id="rId2" w:fontKey="{5001E53B-D724-4AFF-ABEE-839B6D74F8FC}"/>
  </w:font>
  <w:font w:name="黑体">
    <w:altName w:val="hakuyoxingshu7000"/>
    <w:panose1 w:val="02010609060101010101"/>
    <w:charset w:val="86"/>
    <w:family w:val="auto"/>
    <w:pitch w:val="default"/>
    <w:sig w:usb0="800002BF" w:usb1="38CF7CFA" w:usb2="00000016" w:usb3="00000000" w:csb0="00040001" w:csb1="00000000"/>
    <w:embedRegular r:id="rId3" w:fontKey="{61BA2829-B112-444C-979F-D3218523C732}"/>
  </w:font>
  <w:font w:name="Courier New">
    <w:panose1 w:val="02070309020205020404"/>
    <w:charset w:val="01"/>
    <w:family w:val="modern"/>
    <w:pitch w:val="default"/>
    <w:sig w:usb0="E0002AFF" w:usb1="C0007843" w:usb2="00000009" w:usb3="00000000" w:csb0="400001FF" w:csb1="FFFF0000"/>
    <w:embedRegular r:id="rId4" w:fontKey="{898DB44A-92AA-4255-8292-E44248C60F2A}"/>
  </w:font>
  <w:font w:name="Symbol">
    <w:panose1 w:val="05050102010706020507"/>
    <w:charset w:val="02"/>
    <w:family w:val="roman"/>
    <w:pitch w:val="default"/>
    <w:sig w:usb0="00000000" w:usb1="00000000" w:usb2="00000000" w:usb3="00000000" w:csb0="80000000" w:csb1="00000000"/>
    <w:embedRegular r:id="rId5" w:fontKey="{2D7AF505-69C9-4A54-B690-5885B79F2014}"/>
  </w:font>
  <w:font w:name="Calibri">
    <w:panose1 w:val="020F0502020204030204"/>
    <w:charset w:val="00"/>
    <w:family w:val="swiss"/>
    <w:pitch w:val="default"/>
    <w:sig w:usb0="E00002FF" w:usb1="4000ACFF" w:usb2="00000001" w:usb3="00000000" w:csb0="2000019F" w:csb1="00000000"/>
    <w:embedRegular r:id="rId6" w:fontKey="{3409E2BA-3785-4046-BA42-A04249FA04F2}"/>
  </w:font>
  <w:font w:name="方正仿宋_GBK">
    <w:panose1 w:val="03000509000000000000"/>
    <w:charset w:val="86"/>
    <w:family w:val="roman"/>
    <w:pitch w:val="default"/>
    <w:sig w:usb0="00000001" w:usb1="080E0000" w:usb2="00000000" w:usb3="00000000" w:csb0="00040000" w:csb1="00000000"/>
    <w:embedRegular r:id="rId7" w:fontKey="{7736BD0C-9F14-4229-B0E7-C15386EB152B}"/>
  </w:font>
  <w:font w:name="方正书宋_GBK">
    <w:altName w:val="宋体"/>
    <w:panose1 w:val="00000000000000000000"/>
    <w:charset w:val="86"/>
    <w:family w:val="roman"/>
    <w:pitch w:val="default"/>
    <w:sig w:usb0="00000000" w:usb1="00000000" w:usb2="00000000" w:usb3="00000000" w:csb0="00000000" w:csb1="00000000"/>
    <w:embedRegular r:id="rId8" w:fontKey="{8D80CA2A-0D5A-454D-82C7-CDEECEA82B30}"/>
  </w:font>
  <w:font w:name="方正小标宋_GBK">
    <w:altName w:val="宋体"/>
    <w:panose1 w:val="00000000000000000000"/>
    <w:charset w:val="86"/>
    <w:family w:val="roman"/>
    <w:pitch w:val="default"/>
    <w:sig w:usb0="00000000" w:usb1="00000000" w:usb2="00000000" w:usb3="00000000" w:csb0="00000000" w:csb1="00000000"/>
    <w:embedRegular r:id="rId9" w:fontKey="{1BF34EB3-85EE-4B18-A072-2AE575CBD664}"/>
  </w:font>
  <w:font w:name="仿宋_GB2312">
    <w:panose1 w:val="02010609030101010101"/>
    <w:charset w:val="86"/>
    <w:family w:val="modern"/>
    <w:pitch w:val="default"/>
    <w:sig w:usb0="00000001" w:usb1="080E0000" w:usb2="00000000" w:usb3="00000000" w:csb0="00040000" w:csb1="00000000"/>
    <w:embedRegular r:id="rId10" w:fontKey="{86E7C758-F4D8-4DAA-859B-4F17D41B3B58}"/>
  </w:font>
  <w:font w:name="楷体_GB2312">
    <w:panose1 w:val="02010609030101010101"/>
    <w:charset w:val="86"/>
    <w:family w:val="modern"/>
    <w:pitch w:val="default"/>
    <w:sig w:usb0="00000001" w:usb1="080E0000" w:usb2="00000000" w:usb3="00000000" w:csb0="00040000" w:csb1="00000000"/>
    <w:embedRegular r:id="rId11" w:fontKey="{CF0DF777-4130-4334-862A-66E50107BF32}"/>
  </w:font>
  <w:font w:name="仿宋">
    <w:panose1 w:val="02010609060101010101"/>
    <w:charset w:val="86"/>
    <w:family w:val="modern"/>
    <w:pitch w:val="default"/>
    <w:sig w:usb0="800002BF" w:usb1="38CF7CFA" w:usb2="00000016" w:usb3="00000000" w:csb0="00040001" w:csb1="00000000"/>
    <w:embedRegular r:id="rId12" w:fontKey="{5D4E2167-A562-4141-B8AC-05C1D5085261}"/>
  </w:font>
  <w:font w:name="方正仿宋简体">
    <w:panose1 w:val="02010601030101010101"/>
    <w:charset w:val="86"/>
    <w:family w:val="auto"/>
    <w:pitch w:val="default"/>
    <w:sig w:usb0="00000001" w:usb1="080E0000" w:usb2="00000000" w:usb3="00000000" w:csb0="00040000" w:csb1="00000000"/>
  </w:font>
  <w:font w:name="hakuyoxingshu7000">
    <w:panose1 w:val="02000600000000000000"/>
    <w:charset w:val="86"/>
    <w:family w:val="auto"/>
    <w:pitch w:val="default"/>
    <w:sig w:usb0="FFFFFFFF" w:usb1="E9FFFFFF" w:usb2="0000003F" w:usb3="00000000" w:csb0="603F00FF" w:csb1="FFFF0000"/>
  </w:font>
  <w:font w:name="Arial Unicode MS">
    <w:panose1 w:val="020B0604020202020204"/>
    <w:charset w:val="86"/>
    <w:family w:val="auto"/>
    <w:pitch w:val="default"/>
    <w:sig w:usb0="FFFFFFFF" w:usb1="E9FFFFFF" w:usb2="0000003F" w:usb3="00000000" w:csb0="603F01FF" w:csb1="FFFF0000"/>
    <w:embedRegular r:id="rId13" w:fontKey="{DBAC4BDB-A5FD-432F-AB5C-E468B544C1D8}"/>
  </w:font>
  <w:font w:name="方正楷体简体">
    <w:panose1 w:val="03000509000000000000"/>
    <w:charset w:val="86"/>
    <w:family w:val="auto"/>
    <w:pitch w:val="default"/>
    <w:sig w:usb0="00000001" w:usb1="080E0000" w:usb2="00000000" w:usb3="00000000" w:csb0="00040000" w:csb1="00000000"/>
  </w:font>
  <w:font w:name="方正黑体简体">
    <w:panose1 w:val="03000509000000000000"/>
    <w:charset w:val="86"/>
    <w:family w:val="auto"/>
    <w:pitch w:val="default"/>
    <w:sig w:usb0="00000001" w:usb1="080E0000" w:usb2="00000000" w:usb3="00000000" w:csb0="00040000" w:csb1="00000000"/>
    <w:embedRegular r:id="rId14" w:fontKey="{A5964D58-3261-4679-AF09-02C30F49EF3C}"/>
  </w:font>
  <w:font w:name="方正小标宋简体">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舒体">
    <w:panose1 w:val="02010601030101010101"/>
    <w:charset w:val="86"/>
    <w:family w:val="auto"/>
    <w:pitch w:val="default"/>
    <w:sig w:usb0="00000003" w:usb1="080E0000" w:usb2="00000000" w:usb3="00000000" w:csb0="00040000" w:csb1="00000000"/>
  </w:font>
  <w:font w:name="AngsanaUPC">
    <w:panose1 w:val="02020603050405020304"/>
    <w:charset w:val="00"/>
    <w:family w:val="auto"/>
    <w:pitch w:val="default"/>
    <w:sig w:usb0="81000003" w:usb1="00000000" w:usb2="00000000" w:usb3="00000000" w:csb0="00010001" w:csb1="00000000"/>
    <w:embedRegular r:id="rId15" w:fontKey="{6DC59218-2878-449D-B426-980E317607DA}"/>
  </w:font>
  <w:font w:name="Baskerville Old Face">
    <w:panose1 w:val="02020602080505020303"/>
    <w:charset w:val="00"/>
    <w:family w:val="auto"/>
    <w:pitch w:val="default"/>
    <w:sig w:usb0="00000003" w:usb1="00000000" w:usb2="00000000" w:usb3="00000000" w:csb0="20000001" w:csb1="00000000"/>
    <w:embedRegular r:id="rId16" w:fontKey="{02EE9CE4-7CC8-40A8-B6D8-CB714560681D}"/>
  </w:font>
  <w:font w:name="Angsana New">
    <w:panose1 w:val="02020603050405020304"/>
    <w:charset w:val="00"/>
    <w:family w:val="auto"/>
    <w:pitch w:val="default"/>
    <w:sig w:usb0="81000003" w:usb1="00000000" w:usb2="00000000" w:usb3="00000000" w:csb0="00010001" w:csb1="00000000"/>
    <w:embedRegular r:id="rId17" w:fontKey="{10FA9EB6-842A-4D0E-8763-AA56334086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outside" w:y="1"/>
      <w:rPr>
        <w:rStyle w:val="14"/>
      </w:rPr>
    </w:pPr>
    <w:r>
      <w:rPr>
        <w:rStyle w:val="14"/>
      </w:rPr>
      <w:fldChar w:fldCharType="begin"/>
    </w:r>
    <w:r>
      <w:rPr>
        <w:rStyle w:val="14"/>
      </w:rPr>
      <w:instrText xml:space="preserve">PAGE  </w:instrText>
    </w:r>
    <w:r>
      <w:rPr>
        <w:rStyle w:val="14"/>
      </w:rPr>
      <w:fldChar w:fldCharType="separate"/>
    </w:r>
    <w:r>
      <w:rPr>
        <w:rStyle w:val="14"/>
      </w:rPr>
      <w:t>26</w:t>
    </w:r>
    <w:r>
      <w:rPr>
        <w:rStyle w:val="14"/>
      </w:rPr>
      <w:fldChar w:fldCharType="end"/>
    </w:r>
  </w:p>
  <w:p>
    <w:pPr>
      <w:pStyle w:val="4"/>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4EB86F"/>
    <w:multiLevelType w:val="singleLevel"/>
    <w:tmpl w:val="094EB86F"/>
    <w:lvl w:ilvl="0" w:tentative="0">
      <w:start w:val="2"/>
      <w:numFmt w:val="chineseCounting"/>
      <w:suff w:val="space"/>
      <w:lvlText w:val="第%1部分"/>
      <w:lvlJc w:val="left"/>
      <w:rPr>
        <w:rFonts w:hint="eastAsia"/>
      </w:rPr>
    </w:lvl>
  </w:abstractNum>
  <w:abstractNum w:abstractNumId="1">
    <w:nsid w:val="75E22F24"/>
    <w:multiLevelType w:val="multilevel"/>
    <w:tmpl w:val="75E22F24"/>
    <w:lvl w:ilvl="0" w:tentative="0">
      <w:start w:val="5"/>
      <w:numFmt w:val="japaneseCounting"/>
      <w:lvlText w:val="%1、"/>
      <w:lvlJc w:val="left"/>
      <w:pPr>
        <w:tabs>
          <w:tab w:val="left" w:pos="1520"/>
        </w:tabs>
        <w:ind w:left="1520" w:hanging="720"/>
      </w:pPr>
      <w:rPr>
        <w:rFonts w:hint="default" w:cs="Times New Roman"/>
      </w:rPr>
    </w:lvl>
    <w:lvl w:ilvl="1" w:tentative="0">
      <w:start w:val="1"/>
      <w:numFmt w:val="lowerLetter"/>
      <w:lvlText w:val="%2)"/>
      <w:lvlJc w:val="left"/>
      <w:pPr>
        <w:tabs>
          <w:tab w:val="left" w:pos="1640"/>
        </w:tabs>
        <w:ind w:left="1640" w:hanging="420"/>
      </w:pPr>
      <w:rPr>
        <w:rFonts w:cs="Times New Roman"/>
      </w:rPr>
    </w:lvl>
    <w:lvl w:ilvl="2" w:tentative="0">
      <w:start w:val="1"/>
      <w:numFmt w:val="lowerRoman"/>
      <w:lvlText w:val="%3."/>
      <w:lvlJc w:val="right"/>
      <w:pPr>
        <w:tabs>
          <w:tab w:val="left" w:pos="2060"/>
        </w:tabs>
        <w:ind w:left="2060" w:hanging="420"/>
      </w:pPr>
      <w:rPr>
        <w:rFonts w:cs="Times New Roman"/>
      </w:rPr>
    </w:lvl>
    <w:lvl w:ilvl="3" w:tentative="0">
      <w:start w:val="1"/>
      <w:numFmt w:val="decimal"/>
      <w:lvlText w:val="%4."/>
      <w:lvlJc w:val="left"/>
      <w:pPr>
        <w:tabs>
          <w:tab w:val="left" w:pos="2480"/>
        </w:tabs>
        <w:ind w:left="2480" w:hanging="420"/>
      </w:pPr>
      <w:rPr>
        <w:rFonts w:cs="Times New Roman"/>
      </w:rPr>
    </w:lvl>
    <w:lvl w:ilvl="4" w:tentative="0">
      <w:start w:val="1"/>
      <w:numFmt w:val="lowerLetter"/>
      <w:lvlText w:val="%5)"/>
      <w:lvlJc w:val="left"/>
      <w:pPr>
        <w:tabs>
          <w:tab w:val="left" w:pos="2900"/>
        </w:tabs>
        <w:ind w:left="2900" w:hanging="420"/>
      </w:pPr>
      <w:rPr>
        <w:rFonts w:cs="Times New Roman"/>
      </w:rPr>
    </w:lvl>
    <w:lvl w:ilvl="5" w:tentative="0">
      <w:start w:val="1"/>
      <w:numFmt w:val="lowerRoman"/>
      <w:lvlText w:val="%6."/>
      <w:lvlJc w:val="right"/>
      <w:pPr>
        <w:tabs>
          <w:tab w:val="left" w:pos="3320"/>
        </w:tabs>
        <w:ind w:left="3320" w:hanging="420"/>
      </w:pPr>
      <w:rPr>
        <w:rFonts w:cs="Times New Roman"/>
      </w:rPr>
    </w:lvl>
    <w:lvl w:ilvl="6" w:tentative="0">
      <w:start w:val="1"/>
      <w:numFmt w:val="decimal"/>
      <w:lvlText w:val="%7."/>
      <w:lvlJc w:val="left"/>
      <w:pPr>
        <w:tabs>
          <w:tab w:val="left" w:pos="3740"/>
        </w:tabs>
        <w:ind w:left="3740" w:hanging="420"/>
      </w:pPr>
      <w:rPr>
        <w:rFonts w:cs="Times New Roman"/>
      </w:rPr>
    </w:lvl>
    <w:lvl w:ilvl="7" w:tentative="0">
      <w:start w:val="1"/>
      <w:numFmt w:val="lowerLetter"/>
      <w:lvlText w:val="%8)"/>
      <w:lvlJc w:val="left"/>
      <w:pPr>
        <w:tabs>
          <w:tab w:val="left" w:pos="4160"/>
        </w:tabs>
        <w:ind w:left="4160" w:hanging="420"/>
      </w:pPr>
      <w:rPr>
        <w:rFonts w:cs="Times New Roman"/>
      </w:rPr>
    </w:lvl>
    <w:lvl w:ilvl="8" w:tentative="0">
      <w:start w:val="1"/>
      <w:numFmt w:val="lowerRoman"/>
      <w:lvlText w:val="%9."/>
      <w:lvlJc w:val="right"/>
      <w:pPr>
        <w:tabs>
          <w:tab w:val="left" w:pos="4580"/>
        </w:tabs>
        <w:ind w:left="4580" w:hanging="42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NotTrackMoves/>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OWE4NDYwOTI3NDc1OWY1NGViNmM5NTY4MDY5NzM2MWIifQ=="/>
  </w:docVars>
  <w:rsids>
    <w:rsidRoot w:val="00F66032"/>
    <w:rsid w:val="000053CC"/>
    <w:rsid w:val="00005DD8"/>
    <w:rsid w:val="00007292"/>
    <w:rsid w:val="00007A31"/>
    <w:rsid w:val="0003697D"/>
    <w:rsid w:val="00037AF6"/>
    <w:rsid w:val="0004565F"/>
    <w:rsid w:val="00072187"/>
    <w:rsid w:val="00075D5F"/>
    <w:rsid w:val="0008180F"/>
    <w:rsid w:val="00082B29"/>
    <w:rsid w:val="00093DA3"/>
    <w:rsid w:val="000B529B"/>
    <w:rsid w:val="000C0D8D"/>
    <w:rsid w:val="000C2338"/>
    <w:rsid w:val="000C24E6"/>
    <w:rsid w:val="000C3A19"/>
    <w:rsid w:val="000E4305"/>
    <w:rsid w:val="000F0D09"/>
    <w:rsid w:val="00123A3A"/>
    <w:rsid w:val="001245BB"/>
    <w:rsid w:val="001251A3"/>
    <w:rsid w:val="00143193"/>
    <w:rsid w:val="00160266"/>
    <w:rsid w:val="001643E8"/>
    <w:rsid w:val="00164641"/>
    <w:rsid w:val="00164B40"/>
    <w:rsid w:val="00176C13"/>
    <w:rsid w:val="00183D1E"/>
    <w:rsid w:val="001919C4"/>
    <w:rsid w:val="0019723B"/>
    <w:rsid w:val="001A0943"/>
    <w:rsid w:val="001A21CC"/>
    <w:rsid w:val="001A3D44"/>
    <w:rsid w:val="001B5C1D"/>
    <w:rsid w:val="001C2576"/>
    <w:rsid w:val="001C2B2C"/>
    <w:rsid w:val="001D3798"/>
    <w:rsid w:val="001D42E8"/>
    <w:rsid w:val="001E0757"/>
    <w:rsid w:val="001E5749"/>
    <w:rsid w:val="001E6DDC"/>
    <w:rsid w:val="001E70E9"/>
    <w:rsid w:val="001F5C92"/>
    <w:rsid w:val="001F7873"/>
    <w:rsid w:val="00204F37"/>
    <w:rsid w:val="0022607B"/>
    <w:rsid w:val="00230E48"/>
    <w:rsid w:val="00241FD4"/>
    <w:rsid w:val="00246317"/>
    <w:rsid w:val="00251B12"/>
    <w:rsid w:val="00265318"/>
    <w:rsid w:val="002713A3"/>
    <w:rsid w:val="00277452"/>
    <w:rsid w:val="002835D7"/>
    <w:rsid w:val="00290FD6"/>
    <w:rsid w:val="0029588E"/>
    <w:rsid w:val="00296113"/>
    <w:rsid w:val="002A673A"/>
    <w:rsid w:val="002C29A3"/>
    <w:rsid w:val="002C5E13"/>
    <w:rsid w:val="002C62BC"/>
    <w:rsid w:val="002E0EB8"/>
    <w:rsid w:val="002F3A53"/>
    <w:rsid w:val="002F3E58"/>
    <w:rsid w:val="0030542C"/>
    <w:rsid w:val="003075D4"/>
    <w:rsid w:val="00311B7A"/>
    <w:rsid w:val="003126B6"/>
    <w:rsid w:val="00313D9C"/>
    <w:rsid w:val="00314231"/>
    <w:rsid w:val="00325215"/>
    <w:rsid w:val="00325861"/>
    <w:rsid w:val="0033339C"/>
    <w:rsid w:val="00335DF9"/>
    <w:rsid w:val="003442A2"/>
    <w:rsid w:val="0036386B"/>
    <w:rsid w:val="00371FDA"/>
    <w:rsid w:val="00377D7A"/>
    <w:rsid w:val="0039520A"/>
    <w:rsid w:val="003A6ED3"/>
    <w:rsid w:val="003B6D37"/>
    <w:rsid w:val="003D2E03"/>
    <w:rsid w:val="0042053B"/>
    <w:rsid w:val="00424943"/>
    <w:rsid w:val="0042727E"/>
    <w:rsid w:val="0043175C"/>
    <w:rsid w:val="00437296"/>
    <w:rsid w:val="004465B7"/>
    <w:rsid w:val="00451590"/>
    <w:rsid w:val="00451871"/>
    <w:rsid w:val="00464161"/>
    <w:rsid w:val="004706DE"/>
    <w:rsid w:val="00472923"/>
    <w:rsid w:val="00486DCD"/>
    <w:rsid w:val="0049120C"/>
    <w:rsid w:val="004A77C0"/>
    <w:rsid w:val="004B0C3A"/>
    <w:rsid w:val="004B12F3"/>
    <w:rsid w:val="004B45C1"/>
    <w:rsid w:val="004C49A8"/>
    <w:rsid w:val="004D0AD1"/>
    <w:rsid w:val="004D5788"/>
    <w:rsid w:val="004E3066"/>
    <w:rsid w:val="004E419C"/>
    <w:rsid w:val="004E74CD"/>
    <w:rsid w:val="00517C46"/>
    <w:rsid w:val="00524EFD"/>
    <w:rsid w:val="00527CD9"/>
    <w:rsid w:val="00542866"/>
    <w:rsid w:val="00572067"/>
    <w:rsid w:val="00573562"/>
    <w:rsid w:val="0057546C"/>
    <w:rsid w:val="00590ECE"/>
    <w:rsid w:val="005B041A"/>
    <w:rsid w:val="005B3671"/>
    <w:rsid w:val="005C0E90"/>
    <w:rsid w:val="005D37CA"/>
    <w:rsid w:val="005D5683"/>
    <w:rsid w:val="005F1499"/>
    <w:rsid w:val="005F5714"/>
    <w:rsid w:val="005F7AE1"/>
    <w:rsid w:val="00611D03"/>
    <w:rsid w:val="00614A29"/>
    <w:rsid w:val="00623770"/>
    <w:rsid w:val="00637766"/>
    <w:rsid w:val="00651BA2"/>
    <w:rsid w:val="00673D76"/>
    <w:rsid w:val="006750E7"/>
    <w:rsid w:val="00677AC3"/>
    <w:rsid w:val="006854F0"/>
    <w:rsid w:val="006B1C4A"/>
    <w:rsid w:val="006B610D"/>
    <w:rsid w:val="006C3E06"/>
    <w:rsid w:val="006E49F5"/>
    <w:rsid w:val="006F66C9"/>
    <w:rsid w:val="006F74B7"/>
    <w:rsid w:val="007013C8"/>
    <w:rsid w:val="00716BFB"/>
    <w:rsid w:val="00727C84"/>
    <w:rsid w:val="0074338E"/>
    <w:rsid w:val="00753836"/>
    <w:rsid w:val="0075393C"/>
    <w:rsid w:val="00754592"/>
    <w:rsid w:val="007709F3"/>
    <w:rsid w:val="00776C08"/>
    <w:rsid w:val="00785B0E"/>
    <w:rsid w:val="007B0400"/>
    <w:rsid w:val="007B49AA"/>
    <w:rsid w:val="007C219A"/>
    <w:rsid w:val="007D6B66"/>
    <w:rsid w:val="007E1DA8"/>
    <w:rsid w:val="007E5EC5"/>
    <w:rsid w:val="007F1335"/>
    <w:rsid w:val="007F6C26"/>
    <w:rsid w:val="00800F72"/>
    <w:rsid w:val="00806294"/>
    <w:rsid w:val="00811795"/>
    <w:rsid w:val="00813208"/>
    <w:rsid w:val="00815157"/>
    <w:rsid w:val="00815F8F"/>
    <w:rsid w:val="008219E1"/>
    <w:rsid w:val="00821E17"/>
    <w:rsid w:val="0083348E"/>
    <w:rsid w:val="008334AE"/>
    <w:rsid w:val="00835573"/>
    <w:rsid w:val="00836FED"/>
    <w:rsid w:val="0083724E"/>
    <w:rsid w:val="00841D53"/>
    <w:rsid w:val="00845CD2"/>
    <w:rsid w:val="00852B0D"/>
    <w:rsid w:val="0085425A"/>
    <w:rsid w:val="008575E3"/>
    <w:rsid w:val="00864B7F"/>
    <w:rsid w:val="00881692"/>
    <w:rsid w:val="008858FF"/>
    <w:rsid w:val="0089075B"/>
    <w:rsid w:val="008A50D5"/>
    <w:rsid w:val="008A6576"/>
    <w:rsid w:val="008A6D3B"/>
    <w:rsid w:val="008B3CC5"/>
    <w:rsid w:val="008B52CD"/>
    <w:rsid w:val="008C4394"/>
    <w:rsid w:val="008C4AAE"/>
    <w:rsid w:val="008C7C4D"/>
    <w:rsid w:val="008E05CF"/>
    <w:rsid w:val="008E0AD8"/>
    <w:rsid w:val="008E4261"/>
    <w:rsid w:val="008E70D4"/>
    <w:rsid w:val="008F4662"/>
    <w:rsid w:val="0090563F"/>
    <w:rsid w:val="00905D08"/>
    <w:rsid w:val="009161E4"/>
    <w:rsid w:val="00920F22"/>
    <w:rsid w:val="00923F0E"/>
    <w:rsid w:val="00925753"/>
    <w:rsid w:val="00932F6D"/>
    <w:rsid w:val="00936DDD"/>
    <w:rsid w:val="00937F8B"/>
    <w:rsid w:val="009425F4"/>
    <w:rsid w:val="00943BD8"/>
    <w:rsid w:val="009458A2"/>
    <w:rsid w:val="00954B2C"/>
    <w:rsid w:val="0096626E"/>
    <w:rsid w:val="009664AA"/>
    <w:rsid w:val="00966C5C"/>
    <w:rsid w:val="00973104"/>
    <w:rsid w:val="009842F6"/>
    <w:rsid w:val="00995BF0"/>
    <w:rsid w:val="009A16D5"/>
    <w:rsid w:val="009A353D"/>
    <w:rsid w:val="009B0B77"/>
    <w:rsid w:val="009B511E"/>
    <w:rsid w:val="009B5215"/>
    <w:rsid w:val="009C6C86"/>
    <w:rsid w:val="009D37D3"/>
    <w:rsid w:val="00A16E6C"/>
    <w:rsid w:val="00A40F60"/>
    <w:rsid w:val="00A44E3D"/>
    <w:rsid w:val="00A72D2E"/>
    <w:rsid w:val="00A74447"/>
    <w:rsid w:val="00A74CE5"/>
    <w:rsid w:val="00A77500"/>
    <w:rsid w:val="00A8536F"/>
    <w:rsid w:val="00A911E7"/>
    <w:rsid w:val="00A92170"/>
    <w:rsid w:val="00A939D9"/>
    <w:rsid w:val="00AB77AA"/>
    <w:rsid w:val="00AC1794"/>
    <w:rsid w:val="00AC4748"/>
    <w:rsid w:val="00AD5259"/>
    <w:rsid w:val="00AE1A02"/>
    <w:rsid w:val="00B01D36"/>
    <w:rsid w:val="00B078CD"/>
    <w:rsid w:val="00B20712"/>
    <w:rsid w:val="00B43238"/>
    <w:rsid w:val="00B45DD3"/>
    <w:rsid w:val="00B54B90"/>
    <w:rsid w:val="00B61DEA"/>
    <w:rsid w:val="00B64FA8"/>
    <w:rsid w:val="00B73582"/>
    <w:rsid w:val="00B75216"/>
    <w:rsid w:val="00B755A2"/>
    <w:rsid w:val="00B75C1E"/>
    <w:rsid w:val="00B9104C"/>
    <w:rsid w:val="00B91D52"/>
    <w:rsid w:val="00B9490F"/>
    <w:rsid w:val="00B96C57"/>
    <w:rsid w:val="00BA0016"/>
    <w:rsid w:val="00BA1ACD"/>
    <w:rsid w:val="00BD09F8"/>
    <w:rsid w:val="00BD7278"/>
    <w:rsid w:val="00BE6A1C"/>
    <w:rsid w:val="00C005B2"/>
    <w:rsid w:val="00C1565C"/>
    <w:rsid w:val="00C21E0F"/>
    <w:rsid w:val="00C362CA"/>
    <w:rsid w:val="00C5669B"/>
    <w:rsid w:val="00C56BB2"/>
    <w:rsid w:val="00C772C1"/>
    <w:rsid w:val="00C77976"/>
    <w:rsid w:val="00CA7176"/>
    <w:rsid w:val="00CC75B0"/>
    <w:rsid w:val="00CD2773"/>
    <w:rsid w:val="00CD3C04"/>
    <w:rsid w:val="00CE01BA"/>
    <w:rsid w:val="00CE143B"/>
    <w:rsid w:val="00CE3A91"/>
    <w:rsid w:val="00CF37D9"/>
    <w:rsid w:val="00D07DBA"/>
    <w:rsid w:val="00D1649B"/>
    <w:rsid w:val="00D23C16"/>
    <w:rsid w:val="00D27003"/>
    <w:rsid w:val="00D30617"/>
    <w:rsid w:val="00D324AD"/>
    <w:rsid w:val="00D86ED8"/>
    <w:rsid w:val="00D926D0"/>
    <w:rsid w:val="00D9307A"/>
    <w:rsid w:val="00DB08DA"/>
    <w:rsid w:val="00DB4322"/>
    <w:rsid w:val="00DD1D0C"/>
    <w:rsid w:val="00DD62E6"/>
    <w:rsid w:val="00DE186D"/>
    <w:rsid w:val="00DE4AC2"/>
    <w:rsid w:val="00E12A2B"/>
    <w:rsid w:val="00E167C7"/>
    <w:rsid w:val="00E23BF5"/>
    <w:rsid w:val="00E419DD"/>
    <w:rsid w:val="00E47E99"/>
    <w:rsid w:val="00E55B78"/>
    <w:rsid w:val="00E76361"/>
    <w:rsid w:val="00E82051"/>
    <w:rsid w:val="00E84020"/>
    <w:rsid w:val="00EB53A2"/>
    <w:rsid w:val="00EB7A80"/>
    <w:rsid w:val="00EC47F6"/>
    <w:rsid w:val="00EC797B"/>
    <w:rsid w:val="00ED0C47"/>
    <w:rsid w:val="00EE6D6D"/>
    <w:rsid w:val="00EF08C9"/>
    <w:rsid w:val="00EF535E"/>
    <w:rsid w:val="00F10A48"/>
    <w:rsid w:val="00F22ECF"/>
    <w:rsid w:val="00F36922"/>
    <w:rsid w:val="00F471F7"/>
    <w:rsid w:val="00F66032"/>
    <w:rsid w:val="00F72DE3"/>
    <w:rsid w:val="00F83B96"/>
    <w:rsid w:val="00F8441D"/>
    <w:rsid w:val="00F87C1E"/>
    <w:rsid w:val="00F958C2"/>
    <w:rsid w:val="00FA6FE9"/>
    <w:rsid w:val="00FA740E"/>
    <w:rsid w:val="00FB4971"/>
    <w:rsid w:val="00FC06C7"/>
    <w:rsid w:val="00FD5DB4"/>
    <w:rsid w:val="00FE1724"/>
    <w:rsid w:val="00FE2124"/>
    <w:rsid w:val="00FE753C"/>
    <w:rsid w:val="00FF0CD3"/>
    <w:rsid w:val="00FF2162"/>
    <w:rsid w:val="00FF2346"/>
    <w:rsid w:val="035177B8"/>
    <w:rsid w:val="0D5C29BE"/>
    <w:rsid w:val="0E620E68"/>
    <w:rsid w:val="0E7E3D74"/>
    <w:rsid w:val="144E1DA3"/>
    <w:rsid w:val="16371604"/>
    <w:rsid w:val="181F7965"/>
    <w:rsid w:val="186F5394"/>
    <w:rsid w:val="224E60F5"/>
    <w:rsid w:val="27BD1BFC"/>
    <w:rsid w:val="28A206B5"/>
    <w:rsid w:val="29471A1C"/>
    <w:rsid w:val="2A007120"/>
    <w:rsid w:val="2EBB0B17"/>
    <w:rsid w:val="30D97E6D"/>
    <w:rsid w:val="30DE02C6"/>
    <w:rsid w:val="31D23B92"/>
    <w:rsid w:val="347D2DC2"/>
    <w:rsid w:val="35DE335C"/>
    <w:rsid w:val="3D7544BA"/>
    <w:rsid w:val="436F371E"/>
    <w:rsid w:val="4507253A"/>
    <w:rsid w:val="458E0600"/>
    <w:rsid w:val="46104F68"/>
    <w:rsid w:val="4701417C"/>
    <w:rsid w:val="502065C6"/>
    <w:rsid w:val="51940D73"/>
    <w:rsid w:val="51F66758"/>
    <w:rsid w:val="55BB52D4"/>
    <w:rsid w:val="57CE34F6"/>
    <w:rsid w:val="58323634"/>
    <w:rsid w:val="5E137AF4"/>
    <w:rsid w:val="61F46AE1"/>
    <w:rsid w:val="630F5830"/>
    <w:rsid w:val="6416242C"/>
    <w:rsid w:val="68873461"/>
    <w:rsid w:val="69E62185"/>
    <w:rsid w:val="6A1D5AE6"/>
    <w:rsid w:val="70475261"/>
    <w:rsid w:val="739417AD"/>
    <w:rsid w:val="76E21B0D"/>
    <w:rsid w:val="7CAB5302"/>
    <w:rsid w:val="7CD205F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unhideWhenUsed="0" w:uiPriority="0" w:semiHidden="0" w:name="toc 3" w:locked="1"/>
    <w:lsdException w:qFormat="1"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qFormat="1" w:unhideWhenUsed="0"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nhideWhenUsed="0" w:uiPriority="99" w:name="footnote reference"/>
    <w:lsdException w:uiPriority="99" w:name="annotation reference"/>
    <w:lsdException w:uiPriority="99" w:name="line number"/>
    <w:lsdException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Document Map"/>
    <w:basedOn w:val="1"/>
    <w:link w:val="16"/>
    <w:semiHidden/>
    <w:qFormat/>
    <w:uiPriority w:val="99"/>
    <w:pPr>
      <w:shd w:val="clear" w:color="auto" w:fill="000080"/>
    </w:pPr>
  </w:style>
  <w:style w:type="paragraph" w:styleId="3">
    <w:name w:val="Balloon Text"/>
    <w:basedOn w:val="1"/>
    <w:link w:val="17"/>
    <w:semiHidden/>
    <w:qFormat/>
    <w:uiPriority w:val="99"/>
    <w:rPr>
      <w:sz w:val="18"/>
      <w:szCs w:val="18"/>
    </w:rPr>
  </w:style>
  <w:style w:type="paragraph" w:styleId="4">
    <w:name w:val="footer"/>
    <w:basedOn w:val="1"/>
    <w:link w:val="18"/>
    <w:qFormat/>
    <w:uiPriority w:val="99"/>
    <w:pPr>
      <w:tabs>
        <w:tab w:val="center" w:pos="4153"/>
        <w:tab w:val="right" w:pos="8306"/>
      </w:tabs>
      <w:snapToGrid w:val="0"/>
      <w:jc w:val="left"/>
    </w:pPr>
    <w:rPr>
      <w:rFonts w:ascii="Times New Roman" w:hAnsi="Times New Roman"/>
      <w:sz w:val="18"/>
      <w:szCs w:val="18"/>
    </w:rPr>
  </w:style>
  <w:style w:type="paragraph" w:styleId="5">
    <w:name w:val="header"/>
    <w:basedOn w:val="1"/>
    <w:link w:val="19"/>
    <w:qFormat/>
    <w:uiPriority w:val="99"/>
    <w:pPr>
      <w:pBdr>
        <w:bottom w:val="single" w:color="auto" w:sz="6" w:space="1"/>
      </w:pBdr>
      <w:tabs>
        <w:tab w:val="center" w:pos="4153"/>
        <w:tab w:val="right" w:pos="8306"/>
      </w:tabs>
      <w:snapToGrid w:val="0"/>
      <w:jc w:val="center"/>
    </w:pPr>
    <w:rPr>
      <w:rFonts w:ascii="Times New Roman" w:hAnsi="Times New Roman"/>
      <w:sz w:val="18"/>
      <w:szCs w:val="18"/>
    </w:rPr>
  </w:style>
  <w:style w:type="paragraph" w:styleId="6">
    <w:name w:val="toc 1"/>
    <w:basedOn w:val="1"/>
    <w:next w:val="1"/>
    <w:qFormat/>
    <w:uiPriority w:val="0"/>
    <w:rPr>
      <w:rFonts w:ascii="Times New Roman" w:hAnsi="Times New Roman"/>
      <w:szCs w:val="24"/>
    </w:rPr>
  </w:style>
  <w:style w:type="paragraph" w:styleId="7">
    <w:name w:val="toc 4"/>
    <w:basedOn w:val="1"/>
    <w:next w:val="1"/>
    <w:qFormat/>
    <w:locked/>
    <w:uiPriority w:val="0"/>
    <w:pPr>
      <w:widowControl/>
      <w:ind w:left="720"/>
      <w:jc w:val="left"/>
    </w:pPr>
    <w:rPr>
      <w:rFonts w:ascii="Times New Roman" w:hAnsi="Times New Roman" w:eastAsia="Times New Roman"/>
      <w:kern w:val="0"/>
      <w:sz w:val="24"/>
      <w:szCs w:val="24"/>
      <w:lang w:eastAsia="uk-UA"/>
    </w:rPr>
  </w:style>
  <w:style w:type="paragraph" w:styleId="8">
    <w:name w:val="footnote text"/>
    <w:basedOn w:val="1"/>
    <w:link w:val="20"/>
    <w:semiHidden/>
    <w:qFormat/>
    <w:uiPriority w:val="99"/>
    <w:pPr>
      <w:snapToGrid w:val="0"/>
      <w:jc w:val="left"/>
    </w:pPr>
    <w:rPr>
      <w:sz w:val="18"/>
      <w:szCs w:val="18"/>
    </w:rPr>
  </w:style>
  <w:style w:type="paragraph" w:styleId="9">
    <w:name w:val="toc 2"/>
    <w:basedOn w:val="1"/>
    <w:next w:val="1"/>
    <w:qFormat/>
    <w:uiPriority w:val="0"/>
    <w:pPr>
      <w:ind w:left="420" w:leftChars="200"/>
    </w:pPr>
    <w:rPr>
      <w:rFonts w:ascii="Times New Roman" w:hAnsi="Times New Roman"/>
      <w:szCs w:val="24"/>
    </w:rPr>
  </w:style>
  <w:style w:type="paragraph" w:styleId="10">
    <w:name w:val="Normal (Web)"/>
    <w:basedOn w:val="1"/>
    <w:qFormat/>
    <w:uiPriority w:val="99"/>
    <w:pPr>
      <w:spacing w:before="100" w:beforeAutospacing="1" w:after="100" w:afterAutospacing="1"/>
      <w:jc w:val="left"/>
    </w:pPr>
    <w:rPr>
      <w:kern w:val="0"/>
      <w:sz w:val="24"/>
      <w:szCs w:val="20"/>
    </w:rPr>
  </w:style>
  <w:style w:type="table" w:styleId="12">
    <w:name w:val="Table Grid"/>
    <w:basedOn w:val="11"/>
    <w:locked/>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4">
    <w:name w:val="page number"/>
    <w:uiPriority w:val="99"/>
    <w:rPr>
      <w:rFonts w:cs="Times New Roman"/>
    </w:rPr>
  </w:style>
  <w:style w:type="character" w:styleId="15">
    <w:name w:val="footnote reference"/>
    <w:semiHidden/>
    <w:uiPriority w:val="99"/>
    <w:rPr>
      <w:rFonts w:cs="Times New Roman"/>
      <w:vertAlign w:val="superscript"/>
    </w:rPr>
  </w:style>
  <w:style w:type="character" w:customStyle="1" w:styleId="16">
    <w:name w:val="文档结构图 字符"/>
    <w:link w:val="2"/>
    <w:semiHidden/>
    <w:locked/>
    <w:uiPriority w:val="99"/>
    <w:rPr>
      <w:rFonts w:ascii="Times New Roman" w:hAnsi="Times New Roman" w:cs="Times New Roman"/>
      <w:sz w:val="2"/>
    </w:rPr>
  </w:style>
  <w:style w:type="character" w:customStyle="1" w:styleId="17">
    <w:name w:val="批注框文本 字符"/>
    <w:link w:val="3"/>
    <w:semiHidden/>
    <w:qFormat/>
    <w:locked/>
    <w:uiPriority w:val="99"/>
    <w:rPr>
      <w:rFonts w:cs="Times New Roman"/>
      <w:sz w:val="18"/>
      <w:szCs w:val="18"/>
    </w:rPr>
  </w:style>
  <w:style w:type="character" w:customStyle="1" w:styleId="18">
    <w:name w:val="页脚 字符"/>
    <w:link w:val="4"/>
    <w:qFormat/>
    <w:locked/>
    <w:uiPriority w:val="99"/>
    <w:rPr>
      <w:rFonts w:ascii="Times New Roman" w:hAnsi="Times New Roman" w:eastAsia="宋体" w:cs="Times New Roman"/>
      <w:sz w:val="18"/>
      <w:szCs w:val="18"/>
    </w:rPr>
  </w:style>
  <w:style w:type="character" w:customStyle="1" w:styleId="19">
    <w:name w:val="页眉 字符"/>
    <w:link w:val="5"/>
    <w:locked/>
    <w:uiPriority w:val="99"/>
    <w:rPr>
      <w:rFonts w:ascii="Times New Roman" w:hAnsi="Times New Roman" w:eastAsia="宋体" w:cs="Times New Roman"/>
      <w:sz w:val="18"/>
      <w:szCs w:val="18"/>
    </w:rPr>
  </w:style>
  <w:style w:type="character" w:customStyle="1" w:styleId="20">
    <w:name w:val="脚注文本 字符"/>
    <w:link w:val="8"/>
    <w:semiHidden/>
    <w:locked/>
    <w:uiPriority w:val="99"/>
    <w:rPr>
      <w:rFonts w:ascii="Calibri" w:hAnsi="Calibri" w:eastAsia="宋体" w:cs="Times New Roman"/>
      <w:sz w:val="18"/>
      <w:szCs w:val="18"/>
    </w:rPr>
  </w:style>
  <w:style w:type="paragraph" w:customStyle="1" w:styleId="21">
    <w:name w:val="Default"/>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2">
    <w:name w:val="页脚1"/>
    <w:basedOn w:val="1"/>
    <w:qFormat/>
    <w:uiPriority w:val="0"/>
    <w:pPr>
      <w:tabs>
        <w:tab w:val="center" w:pos="4153"/>
        <w:tab w:val="right" w:pos="8306"/>
      </w:tabs>
      <w:spacing w:line="240" w:lineRule="atLeast"/>
      <w:jc w:val="left"/>
    </w:pPr>
    <w:rPr>
      <w:sz w:val="18"/>
    </w:rPr>
  </w:style>
  <w:style w:type="character" w:customStyle="1" w:styleId="23">
    <w:name w:val="页码1"/>
    <w:basedOn w:val="13"/>
    <w:qFormat/>
    <w:uiPriority w:val="0"/>
  </w:style>
  <w:style w:type="paragraph" w:customStyle="1" w:styleId="24">
    <w:name w:val="[Normal]"/>
    <w:qFormat/>
    <w:uiPriority w:val="6"/>
    <w:rPr>
      <w:rFonts w:ascii="宋体" w:hAnsi="宋体" w:eastAsia="宋体" w:cs="Times New Roman"/>
      <w:sz w:val="24"/>
      <w:szCs w:val="22"/>
      <w:lang w:val="en-US" w:eastAsia="en-US" w:bidi="ar-SA"/>
    </w:rPr>
  </w:style>
  <w:style w:type="paragraph" w:customStyle="1" w:styleId="25">
    <w:name w:val="插入文本样式-插入总体目标文件"/>
    <w:basedOn w:val="1"/>
    <w:qFormat/>
    <w:uiPriority w:val="0"/>
    <w:pPr>
      <w:widowControl/>
      <w:spacing w:line="500" w:lineRule="exact"/>
      <w:ind w:firstLine="560"/>
      <w:jc w:val="left"/>
    </w:pPr>
    <w:rPr>
      <w:rFonts w:ascii="Times New Roman" w:hAnsi="Times New Roman" w:eastAsia="方正仿宋_GBK"/>
      <w:kern w:val="0"/>
      <w:sz w:val="28"/>
      <w:szCs w:val="24"/>
      <w:lang w:eastAsia="uk-UA"/>
    </w:rPr>
  </w:style>
  <w:style w:type="paragraph" w:customStyle="1" w:styleId="26">
    <w:name w:val="插入文本样式-插入职责分类绩效目标文件"/>
    <w:basedOn w:val="1"/>
    <w:qFormat/>
    <w:uiPriority w:val="0"/>
    <w:pPr>
      <w:widowControl/>
      <w:spacing w:line="500" w:lineRule="exact"/>
      <w:ind w:firstLine="560"/>
      <w:jc w:val="left"/>
    </w:pPr>
    <w:rPr>
      <w:rFonts w:ascii="Times New Roman" w:hAnsi="Times New Roman" w:eastAsia="方正仿宋_GBK"/>
      <w:kern w:val="0"/>
      <w:sz w:val="28"/>
      <w:szCs w:val="24"/>
      <w:lang w:eastAsia="uk-UA"/>
    </w:rPr>
  </w:style>
  <w:style w:type="paragraph" w:customStyle="1" w:styleId="27">
    <w:name w:val="插入文本样式-插入实现年度发展规划目标的保障措施文件"/>
    <w:basedOn w:val="1"/>
    <w:qFormat/>
    <w:uiPriority w:val="0"/>
    <w:pPr>
      <w:widowControl/>
      <w:spacing w:line="500" w:lineRule="exact"/>
      <w:ind w:firstLine="560"/>
      <w:jc w:val="left"/>
    </w:pPr>
    <w:rPr>
      <w:rFonts w:ascii="Times New Roman" w:hAnsi="Times New Roman" w:eastAsia="方正仿宋_GBK"/>
      <w:kern w:val="0"/>
      <w:sz w:val="28"/>
      <w:szCs w:val="24"/>
      <w:lang w:eastAsia="uk-UA"/>
    </w:rPr>
  </w:style>
  <w:style w:type="paragraph" w:customStyle="1" w:styleId="28">
    <w:name w:val="单元格样式4"/>
    <w:basedOn w:val="1"/>
    <w:qFormat/>
    <w:uiPriority w:val="0"/>
    <w:pPr>
      <w:widowControl/>
      <w:jc w:val="right"/>
    </w:pPr>
    <w:rPr>
      <w:rFonts w:ascii="方正书宋_GBK" w:hAnsi="方正书宋_GBK" w:eastAsia="方正书宋_GBK" w:cs="方正书宋_GBK"/>
      <w:kern w:val="0"/>
      <w:szCs w:val="24"/>
      <w:lang w:eastAsia="uk-UA"/>
    </w:rPr>
  </w:style>
  <w:style w:type="paragraph" w:customStyle="1" w:styleId="29">
    <w:name w:val="单元格样式5"/>
    <w:basedOn w:val="1"/>
    <w:qFormat/>
    <w:uiPriority w:val="0"/>
    <w:pPr>
      <w:widowControl/>
      <w:jc w:val="left"/>
    </w:pPr>
    <w:rPr>
      <w:rFonts w:ascii="方正书宋_GBK" w:hAnsi="方正书宋_GBK" w:eastAsia="方正书宋_GBK" w:cs="方正书宋_GBK"/>
      <w:b/>
      <w:kern w:val="0"/>
      <w:szCs w:val="24"/>
      <w:lang w:eastAsia="uk-UA"/>
    </w:rPr>
  </w:style>
  <w:style w:type="paragraph" w:customStyle="1" w:styleId="30">
    <w:name w:val="单元格样式2"/>
    <w:basedOn w:val="1"/>
    <w:qFormat/>
    <w:uiPriority w:val="0"/>
    <w:pPr>
      <w:widowControl/>
      <w:jc w:val="left"/>
    </w:pPr>
    <w:rPr>
      <w:rFonts w:ascii="方正书宋_GBK" w:hAnsi="方正书宋_GBK" w:eastAsia="方正书宋_GBK" w:cs="方正书宋_GBK"/>
      <w:kern w:val="0"/>
      <w:szCs w:val="24"/>
      <w:lang w:eastAsia="uk-UA"/>
    </w:rPr>
  </w:style>
  <w:style w:type="paragraph" w:customStyle="1" w:styleId="31">
    <w:name w:val="单元格样式1"/>
    <w:basedOn w:val="1"/>
    <w:qFormat/>
    <w:uiPriority w:val="0"/>
    <w:pPr>
      <w:widowControl/>
      <w:jc w:val="center"/>
    </w:pPr>
    <w:rPr>
      <w:rFonts w:ascii="方正书宋_GBK" w:hAnsi="方正书宋_GBK" w:eastAsia="方正书宋_GBK" w:cs="方正书宋_GBK"/>
      <w:b/>
      <w:kern w:val="0"/>
      <w:szCs w:val="24"/>
      <w:lang w:eastAsia="uk-UA"/>
    </w:rPr>
  </w:style>
  <w:style w:type="paragraph" w:customStyle="1" w:styleId="32">
    <w:name w:val="单元格样式3"/>
    <w:basedOn w:val="1"/>
    <w:qFormat/>
    <w:uiPriority w:val="0"/>
    <w:pPr>
      <w:widowControl/>
      <w:jc w:val="center"/>
    </w:pPr>
    <w:rPr>
      <w:rFonts w:ascii="方正书宋_GBK" w:hAnsi="方正书宋_GBK" w:eastAsia="方正书宋_GBK" w:cs="方正书宋_GBK"/>
      <w:kern w:val="0"/>
      <w:szCs w:val="24"/>
      <w:lang w:eastAsia="uk-UA"/>
    </w:rPr>
  </w:style>
  <w:style w:type="paragraph" w:customStyle="1" w:styleId="33">
    <w:name w:val="单元格样式23"/>
    <w:basedOn w:val="1"/>
    <w:qFormat/>
    <w:uiPriority w:val="0"/>
    <w:pPr>
      <w:widowControl/>
      <w:jc w:val="right"/>
    </w:pPr>
    <w:rPr>
      <w:rFonts w:ascii="方正书宋_GBK" w:hAnsi="方正书宋_GBK" w:eastAsia="方正书宋_GBK" w:cs="方正书宋_GBK"/>
      <w:kern w:val="0"/>
      <w:sz w:val="24"/>
      <w:szCs w:val="24"/>
      <w:lang w:eastAsia="uk-UA"/>
    </w:rPr>
  </w:style>
  <w:style w:type="paragraph" w:customStyle="1" w:styleId="34">
    <w:name w:val="单元格样式20"/>
    <w:basedOn w:val="1"/>
    <w:qFormat/>
    <w:uiPriority w:val="0"/>
    <w:pPr>
      <w:widowControl/>
      <w:jc w:val="left"/>
    </w:pPr>
    <w:rPr>
      <w:rFonts w:ascii="方正小标宋_GBK" w:hAnsi="方正小标宋_GBK" w:eastAsia="方正小标宋_GBK" w:cs="方正小标宋_GBK"/>
      <w:kern w:val="0"/>
      <w:sz w:val="24"/>
      <w:szCs w:val="24"/>
      <w:lang w:eastAsia="uk-UA"/>
    </w:rPr>
  </w:style>
  <w:style w:type="paragraph" w:customStyle="1" w:styleId="35">
    <w:name w:val="单元格样式6"/>
    <w:basedOn w:val="1"/>
    <w:qFormat/>
    <w:uiPriority w:val="0"/>
    <w:pPr>
      <w:widowControl/>
      <w:jc w:val="center"/>
    </w:pPr>
    <w:rPr>
      <w:rFonts w:ascii="方正书宋_GBK" w:hAnsi="方正书宋_GBK" w:eastAsia="方正书宋_GBK" w:cs="方正书宋_GBK"/>
      <w:b/>
      <w:kern w:val="0"/>
      <w:szCs w:val="24"/>
      <w:lang w:eastAsia="uk-UA"/>
    </w:rPr>
  </w:style>
  <w:style w:type="paragraph" w:customStyle="1" w:styleId="36">
    <w:name w:val="单元格样式7"/>
    <w:basedOn w:val="1"/>
    <w:qFormat/>
    <w:uiPriority w:val="0"/>
    <w:pPr>
      <w:widowControl/>
      <w:jc w:val="right"/>
    </w:pPr>
    <w:rPr>
      <w:rFonts w:ascii="方正书宋_GBK" w:hAnsi="方正书宋_GBK" w:eastAsia="方正书宋_GBK" w:cs="方正书宋_GBK"/>
      <w:b/>
      <w:kern w:val="0"/>
      <w:szCs w:val="24"/>
      <w:lang w:eastAsia="uk-UA"/>
    </w:rPr>
  </w:style>
  <w:style w:type="paragraph" w:customStyle="1" w:styleId="37">
    <w:name w:val="插入文本样式-插入部门职责文件"/>
    <w:basedOn w:val="1"/>
    <w:qFormat/>
    <w:uiPriority w:val="0"/>
    <w:pPr>
      <w:spacing w:line="500" w:lineRule="exact"/>
      <w:ind w:firstLine="560"/>
    </w:pPr>
    <w:rPr>
      <w:rFonts w:eastAsia="方正仿宋_GBK"/>
      <w:sz w:val="2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21</Pages>
  <Words>9160</Words>
  <Characters>9961</Characters>
  <Lines>156</Lines>
  <Paragraphs>44</Paragraphs>
  <TotalTime>11</TotalTime>
  <ScaleCrop>false</ScaleCrop>
  <LinksUpToDate>false</LinksUpToDate>
  <CharactersWithSpaces>10043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2020-02-24T02:18:00Z</dcterms:created>
  <dc:creator>guest</dc:creator>
  <cp:lastModifiedBy>淡定^O^</cp:lastModifiedBy>
  <cp:lastPrinted>2018-01-30T06:12:00Z</cp:lastPrinted>
  <dcterms:modified xsi:type="dcterms:W3CDTF">2023-08-01T09:26:48Z</dcterms:modified>
  <dc:title>部门预算公开9张表格导出：</dc:title>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6737EE9BA7DF4C6D8ABF9B71A8533F9A</vt:lpwstr>
  </property>
  <property fmtid="{D5CDD505-2E9C-101B-9397-08002B2CF9AE}" pid="4" name="KSOSaveFontToCloudKey">
    <vt:lpwstr>267182015_embed</vt:lpwstr>
  </property>
</Properties>
</file>