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(行政给付15项)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单位：孙氏镇</w:t>
      </w:r>
      <w:bookmarkStart w:id="0" w:name="_GoBack"/>
      <w:bookmarkEnd w:id="0"/>
      <w:r>
        <w:rPr>
          <w:rFonts w:hint="eastAsia" w:ascii="宋体" w:hAnsi="宋体" w:eastAsia="宋体" w:cs="宋体"/>
          <w:sz w:val="24"/>
          <w:szCs w:val="24"/>
          <w:lang w:val="en-US" w:eastAsia="zh-CN"/>
        </w:rPr>
        <w:t>人民政府（公章）</w:t>
      </w:r>
    </w:p>
    <w:tbl>
      <w:tblPr>
        <w:tblStyle w:val="3"/>
        <w:tblpPr w:leftFromText="180" w:rightFromText="180" w:vertAnchor="text" w:tblpXSpec="center" w:tblpY="1"/>
        <w:tblOverlap w:val="never"/>
        <w:tblW w:w="14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103"/>
        <w:gridCol w:w="51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序号</w:t>
            </w:r>
          </w:p>
        </w:tc>
        <w:tc>
          <w:tcPr>
            <w:tcW w:w="170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权力事项</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责任事项依据</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追责情形依据</w:t>
            </w:r>
          </w:p>
        </w:tc>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rPr>
              <w:t>1</w:t>
            </w:r>
          </w:p>
        </w:tc>
        <w:tc>
          <w:tcPr>
            <w:tcW w:w="1701"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地力补贴申领</w:t>
            </w:r>
          </w:p>
        </w:tc>
        <w:tc>
          <w:tcPr>
            <w:tcW w:w="5103"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河北省农业“三项补贴”改革工作实施方案》（冀财农〔2016〕58号：乡镇要对所辖村的农户基础信息进行核查整理，汇集需要修改的信息，确保数据真实、信息准确。负责审核村街申报的补贴面积核实，录入信息，补贴公示、“一折通”发放。</w:t>
            </w:r>
          </w:p>
        </w:tc>
        <w:tc>
          <w:tcPr>
            <w:tcW w:w="5103" w:type="dxa"/>
            <w:noWrap w:val="0"/>
            <w:vAlign w:val="center"/>
          </w:tcPr>
          <w:p>
            <w:pPr>
              <w:tabs>
                <w:tab w:val="left" w:pos="7937"/>
              </w:tabs>
              <w:spacing w:after="0" w:line="260" w:lineRule="exact"/>
              <w:rPr>
                <w:rFonts w:hint="eastAsia" w:ascii="宋体" w:hAnsi="宋体" w:eastAsia="宋体" w:cs="宋体"/>
                <w:sz w:val="15"/>
                <w:szCs w:val="15"/>
              </w:rPr>
            </w:pPr>
            <w:r>
              <w:rPr>
                <w:rFonts w:hint="eastAsia" w:ascii="宋体" w:hAnsi="宋体" w:eastAsia="宋体" w:cs="宋体"/>
                <w:sz w:val="15"/>
                <w:szCs w:val="15"/>
              </w:rPr>
              <w:t>1、《河北省农业“三项补贴”改革工作实施方案》（冀财农〔2016〕58号）补贴改革资金发放要做到“四到户、四不准”，即政策宣传到户、底册编制到户、张榜公示到户、资金发放到户，不准虚报冒领、不准截留、挤占和挪用、不准违规发放、不准拖延发放时间。要加强监督检查工作，重点是监督检查各乡镇在种植面积申报上是否有弄虚作假现象、各责任部门是否按要求做好相关工作。县纪检审计部门负责对补贴资金的监督检查。</w:t>
            </w:r>
          </w:p>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2、</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600" w:lineRule="exact"/>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棉花补贴申领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1.《河北省棉花补贴资金管理办法》第三条，下列情况不予补贴：一、在国家、省明确退耕的土地上种植棉花的，不予补贴。二、在未经批准开垦的土地或者在禁止开垦的土地上种植棉花的，不予补贴。                                                       2.《河北省棉花补贴资金管理办法》第十六条，对违法财政纪律和本法规定，虚报、冒领、截留、挪用棉花补贴资金的，按照《财政违法行为处罚处分条例》等相关法规予以处理，构成犯罪的移交司法机关处理。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6"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农村部分计划生育家庭奖励扶助金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计划生育家庭特别扶助金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keepNext w:val="0"/>
              <w:keepLines w:val="0"/>
              <w:widowControl/>
              <w:suppressLineNumbers w:val="0"/>
              <w:jc w:val="center"/>
              <w:textAlignment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残疾人机动轮椅车燃油补贴申领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1.《财政部中国残疾人机动轮椅车燃油补贴的通知》（财社〔2010〕256号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因不履行或不正确履行行政职责，有下列情形的，行政机关及相关工作人员应承担相应责任：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1、对符合条件不予受理的；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2、其他违反法律法规规章文件规定的行为。</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高龄津贴申领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1.《中华人民共和国老年人权益保障法》第七十八条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2.《中华人民共和国老年人权益保障法》第七十九条 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3.《中华人民共和国老年人权益保障法》第八十条 对养老机构负有管理和监督职责的部门及其工作人员滥用职权、玩忽职守、徇私舞弊的，对直接负责的主管人员和其他直接责任人员依法给予处分；构成犯罪的，依法追究刑事责任。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4.《中华人民共和国老年人权益保障法》第八十一条 不按规定履行优待老年人义务的，由有关主管部门责令改正。</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5.《中华人民共和国老年人权益保障法》第八十二条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tc>
        <w:tc>
          <w:tcPr>
            <w:tcW w:w="1276" w:type="dxa"/>
            <w:noWrap w:val="0"/>
            <w:vAlign w:val="center"/>
          </w:tcPr>
          <w:p>
            <w:pPr>
              <w:spacing w:line="600" w:lineRule="exact"/>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1701"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重度残疾人护理补贴</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《国务院关于全面建立困难残疾人生活补贴和重度残疾人护理补贴制度的意见》（国发〔2015〕52号）：申领程序和管理办法</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8</w:t>
            </w:r>
          </w:p>
        </w:tc>
        <w:tc>
          <w:tcPr>
            <w:tcW w:w="1701" w:type="dxa"/>
            <w:noWrap w:val="0"/>
            <w:vAlign w:val="center"/>
          </w:tcPr>
          <w:p>
            <w:pPr>
              <w:tabs>
                <w:tab w:val="left" w:pos="7937"/>
              </w:tabs>
              <w:spacing w:after="0" w:line="240" w:lineRule="atLeast"/>
              <w:rPr>
                <w:rFonts w:hint="default" w:ascii="宋体" w:hAnsi="宋体" w:eastAsia="宋体" w:cs="宋体"/>
                <w:kern w:val="2"/>
                <w:sz w:val="15"/>
                <w:szCs w:val="15"/>
                <w:lang w:val="en-US" w:eastAsia="zh-CN" w:bidi="ar-SA"/>
              </w:rPr>
            </w:pPr>
            <w:r>
              <w:rPr>
                <w:rFonts w:hint="eastAsia" w:ascii="宋体" w:hAnsi="宋体" w:eastAsia="宋体" w:cs="宋体"/>
                <w:sz w:val="15"/>
                <w:szCs w:val="15"/>
              </w:rPr>
              <w:t>困难残疾人生活补贴</w:t>
            </w:r>
          </w:p>
        </w:tc>
        <w:tc>
          <w:tcPr>
            <w:tcW w:w="5103" w:type="dxa"/>
            <w:noWrap w:val="0"/>
            <w:vAlign w:val="center"/>
          </w:tcPr>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1. 《国务院关于全面建立困难残疾人生活补贴和重度残疾人护理补贴制度的意见》（国发〔2015〕52号）：申领程序和管理办法</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w:t>
            </w:r>
            <w:r>
              <w:rPr>
                <w:rFonts w:hint="eastAsia" w:ascii="宋体" w:hAnsi="宋体" w:eastAsia="宋体" w:cs="宋体"/>
                <w:sz w:val="15"/>
                <w:szCs w:val="15"/>
                <w:lang w:val="en-US" w:eastAsia="zh-CN"/>
              </w:rPr>
              <w:t>.</w:t>
            </w:r>
            <w:r>
              <w:rPr>
                <w:rFonts w:hint="eastAsia" w:ascii="宋体" w:hAnsi="宋体" w:eastAsia="宋体" w:cs="宋体"/>
                <w:sz w:val="15"/>
                <w:szCs w:val="15"/>
              </w:rPr>
              <w:t>《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lang w:val="en-US" w:eastAsia="zh-CN" w:bidi="ar-SA"/>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701" w:type="dxa"/>
            <w:noWrap w:val="0"/>
            <w:vAlign w:val="center"/>
          </w:tcPr>
          <w:p>
            <w:pPr>
              <w:tabs>
                <w:tab w:val="left" w:pos="7937"/>
              </w:tabs>
              <w:spacing w:after="0" w:line="240" w:lineRule="atLeas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特殊救济对象补助金给付</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fldChar w:fldCharType="begin"/>
            </w:r>
            <w:r>
              <w:rPr>
                <w:rFonts w:hint="eastAsia" w:ascii="宋体" w:hAnsi="宋体" w:eastAsia="宋体" w:cs="宋体"/>
                <w:i w:val="0"/>
                <w:color w:val="000000"/>
                <w:kern w:val="0"/>
                <w:sz w:val="15"/>
                <w:szCs w:val="15"/>
                <w:u w:val="none"/>
                <w:lang w:val="en-US" w:eastAsia="zh-CN" w:bidi="ar"/>
              </w:rPr>
              <w:instrText xml:space="preserve"> HYPERLINK "http://www.beijing.gov.cn/zhengce/zhengcefagui/qtwj/201912/t20191212_1078587.html" \t "https://banshi.beijing.gov.cn/pubtask/task/1/110115013000/_blank" </w:instrText>
            </w:r>
            <w:r>
              <w:rPr>
                <w:rFonts w:hint="eastAsia" w:ascii="宋体" w:hAnsi="宋体" w:eastAsia="宋体" w:cs="宋体"/>
                <w:i w:val="0"/>
                <w:color w:val="000000"/>
                <w:kern w:val="0"/>
                <w:sz w:val="15"/>
                <w:szCs w:val="15"/>
                <w:u w:val="none"/>
                <w:lang w:val="en-US" w:eastAsia="zh-CN" w:bidi="ar"/>
              </w:rPr>
              <w:fldChar w:fldCharType="separate"/>
            </w:r>
            <w:r>
              <w:rPr>
                <w:rFonts w:hint="eastAsia" w:ascii="宋体" w:hAnsi="宋体" w:eastAsia="宋体" w:cs="宋体"/>
                <w:i w:val="0"/>
                <w:color w:val="000000"/>
                <w:kern w:val="0"/>
                <w:sz w:val="15"/>
                <w:szCs w:val="15"/>
                <w:u w:val="none"/>
                <w:lang w:val="en-US" w:eastAsia="zh-CN" w:bidi="ar"/>
              </w:rPr>
              <w:t>国务院关于精减退职的老职工生活困难救济问题的通知</w:t>
            </w:r>
            <w:r>
              <w:rPr>
                <w:rFonts w:hint="eastAsia" w:ascii="宋体" w:hAnsi="宋体" w:eastAsia="宋体" w:cs="宋体"/>
                <w:i w:val="0"/>
                <w:color w:val="000000"/>
                <w:kern w:val="0"/>
                <w:sz w:val="15"/>
                <w:szCs w:val="15"/>
                <w:u w:val="none"/>
                <w:lang w:val="en-US" w:eastAsia="zh-CN" w:bidi="ar"/>
              </w:rPr>
              <w:fldChar w:fldCharType="end"/>
            </w:r>
            <w:r>
              <w:rPr>
                <w:rFonts w:hint="eastAsia" w:ascii="宋体" w:hAnsi="宋体" w:eastAsia="宋体" w:cs="宋体"/>
                <w:i w:val="0"/>
                <w:color w:val="000000"/>
                <w:kern w:val="0"/>
                <w:sz w:val="15"/>
                <w:szCs w:val="15"/>
                <w:u w:val="none"/>
                <w:lang w:val="en-US" w:eastAsia="zh-CN" w:bidi="ar"/>
              </w:rPr>
              <w:t xml:space="preserve">》（国内字第224号） 第九条：各级政府，特别是县、市人民委员会，对已精减退职的职工，尤其是对那些到农村安家落户的退职职工，应当切实做好安置工作；  </w:t>
            </w:r>
            <w:r>
              <w:rPr>
                <w:rFonts w:hint="eastAsia" w:ascii="宋体" w:hAnsi="宋体" w:eastAsia="宋体" w:cs="宋体"/>
                <w:sz w:val="15"/>
                <w:szCs w:val="15"/>
              </w:rPr>
              <w:t xml:space="preserve">                                                                                                </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3"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住房租赁补贴申领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1.《社会救助暂行办法》第三十七条 国家对符合规定标准的住房困难的最低生活保障家庭、分散供养的特困人员，给予住房救助。2.《社会救助暂行办法》第六十六条 违反本办法规定，有下列情形之一的，由上级行政机关或者监察机关责令改正;对直接负责的主管人员和其他直接责任人员依法给予处分:(一)对符合申请条件的救助申请不予受理的;(二)对符合救助条件的救助申请不予批准的;(三)对不符合救助条件的救助申请予以批准的;(四)泄露在工作中知悉的公民个人信息，造成后果的;(五)丢失、篡改接受社会救助款物、服务记录等数据的;(六)不按照规定发放社会救助资金、物资或者提供相关服务的;(七)在履行社会救助职责过程中有其他滥用职权、玩忽职守、徇私舞弊行为的。                     </w:t>
            </w:r>
          </w:p>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3.同2.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4.《社会救助暂行办法》第六十七条 违反本办法规定，截留、挤占、挪用、私分社会救助资金、物资的，由有关部门责令追回;有违法所得的，没收违法所得;对直接负责的主管人员和其他直接责任人员依法给予处分。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11</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部分烈士（含错杀后被平反人员）子女认定及生活补助给付</w:t>
            </w:r>
          </w:p>
        </w:tc>
        <w:tc>
          <w:tcPr>
            <w:tcW w:w="5103" w:type="dxa"/>
            <w:noWrap w:val="0"/>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keepNext w:val="0"/>
              <w:keepLines w:val="0"/>
              <w:widowControl/>
              <w:numPr>
                <w:ilvl w:val="0"/>
                <w:numId w:val="0"/>
              </w:numPr>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2.《军人抚恤优待条例》第五章第四十六条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由其上级主管部门责令改正；情节严重，构成犯罪的，依法追究相关责任人员的刑事责任；尚不构成犯罪的，对相关责任人员依法给予行政处分或者纪律处分。第四十八条负有军人优待义务的单位不履行优待义务的，由县级人民政府民政部门责令限期履行义务；逾期仍未履行的，处以罚款。对直接负责的主管人员和其他直接责任人员依法给予行政处分、纪律处分。因不履行优待义务使抚恤优待对象受到损失的，应当依法承担赔偿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第五十四条有关部门或者组织未依法履行老年人权益保障职责的，由其上级主管部门给予批评教育，责令改正。国家工作人员违法失职，致使老年人合法权益受到损害的，由其所在单位或者上级机关责令改正，或者依法给予处分;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2.第五十八条 社会保险经办机构拖欠、克扣或者挪用老年人依法享有的社会保险待遇的，由社会保险行政部门责令改正，对直接负责的主管人员和其他直接责任人员依法给予处分;构成犯罪的，依法追究刑事责任。                                               3.《军人抚恤优待条例》第五章第四十六条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4.河北省相关法律法规规章等。</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建国后参战和参加核试验军队退役人员补助金的给付</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（二）在审批军人抚恤待遇工作中出具虚假诊断、鉴定、证明的；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（四）在军人抚恤优待工作中利用职权谋取私利的。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701" w:type="dxa"/>
            <w:noWrap w:val="0"/>
            <w:vAlign w:val="center"/>
          </w:tcPr>
          <w:p>
            <w:pPr>
              <w:keepNext w:val="0"/>
              <w:keepLines w:val="0"/>
              <w:widowControl/>
              <w:suppressLineNumbers w:val="0"/>
              <w:jc w:val="left"/>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优抚对象医疗保障</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抚恤优待管理单位及其工作人员挪用、截留、私分抚恤优待经费，构成犯罪的，依法追究相关责任人员的刑事责任；尚不构成犯罪的，对相关责任人员依法给予行政处分或者纪律处分。被挪用、截留、私分的抚恤优待经费，由上一级人民政府民政部门、有关部门责令追回。第四十七条　抚恤优待管理单位及其工作人员、参与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tbl>
      <w:tblPr>
        <w:tblStyle w:val="3"/>
        <w:tblpPr w:leftFromText="180" w:rightFromText="180" w:vertAnchor="text" w:horzAnchor="page" w:tblpXSpec="center" w:tblpY="306"/>
        <w:tblOverlap w:val="never"/>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jc w:val="center"/>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自然灾害民房恢复重建资金申领</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tbl>
      <w:tblPr>
        <w:tblStyle w:val="3"/>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atLeast"/>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受灾人员基本生活救助申请</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1.《自然灾害救助条例》（2019年3月2日修订）第二十一条2.民政部《受灾人员冬春生活救助工作规程》（2015年）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sectPr>
          <w:footerReference r:id="rId3" w:type="default"/>
          <w:pgSz w:w="16838" w:h="11906" w:orient="landscape"/>
          <w:pgMar w:top="76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F9D9F"/>
    <w:multiLevelType w:val="singleLevel"/>
    <w:tmpl w:val="54BF9D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33837"/>
    <w:rsid w:val="4C2D4631"/>
    <w:rsid w:val="73F3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2024-06-19T07:43:00Z</dcterms:created>
  <dc:creator>YANG=</dc:creator>
  <cp:lastModifiedBy>Administrator</cp:lastModifiedBy>
  <dcterms:modified xsi:type="dcterms:W3CDTF">2024-06-20T00:14:49Z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