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新镇镇</w:t>
      </w:r>
      <w:bookmarkStart w:id="0" w:name="_GoBack"/>
      <w:bookmarkEnd w:id="0"/>
      <w:r>
        <w:rPr>
          <w:rFonts w:hint="eastAsia" w:asciiTheme="majorEastAsia" w:hAnsiTheme="majorEastAsia" w:eastAsiaTheme="majorEastAsia" w:cstheme="majorEastAsia"/>
          <w:b/>
          <w:bCs/>
          <w:sz w:val="44"/>
          <w:szCs w:val="44"/>
        </w:rPr>
        <w:t>权责清单事项分表</w:t>
      </w:r>
    </w:p>
    <w:p>
      <w:pPr>
        <w:spacing w:line="6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（行政许可19项）</w:t>
      </w:r>
    </w:p>
    <w:p>
      <w:pPr>
        <w:spacing w:line="6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r>
        <w:rPr>
          <w:rFonts w:hint="eastAsia" w:asciiTheme="minorEastAsia" w:hAnsiTheme="minorEastAsia" w:eastAsiaTheme="minorEastAsia" w:cstheme="minorEastAsia"/>
          <w:b/>
          <w:bCs/>
          <w:sz w:val="24"/>
          <w:szCs w:val="24"/>
          <w:lang w:eastAsia="zh-CN"/>
        </w:rPr>
        <w:t>新镇镇人民政府</w:t>
      </w:r>
      <w:r>
        <w:rPr>
          <w:rFonts w:hint="eastAsia" w:asciiTheme="minorEastAsia" w:hAnsiTheme="minorEastAsia" w:eastAsiaTheme="minorEastAsia" w:cstheme="minorEastAsia"/>
          <w:b/>
          <w:bCs/>
          <w:sz w:val="24"/>
          <w:szCs w:val="24"/>
        </w:rPr>
        <w:t>（公章）</w:t>
      </w: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权力类型</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权力事项</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行政主体</w:t>
            </w:r>
          </w:p>
        </w:tc>
        <w:tc>
          <w:tcPr>
            <w:tcW w:w="1921"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实施依据</w:t>
            </w:r>
          </w:p>
        </w:tc>
        <w:tc>
          <w:tcPr>
            <w:tcW w:w="3075"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责任事项</w:t>
            </w:r>
          </w:p>
        </w:tc>
        <w:tc>
          <w:tcPr>
            <w:tcW w:w="3050"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追责情形</w:t>
            </w:r>
          </w:p>
        </w:tc>
        <w:tc>
          <w:tcPr>
            <w:tcW w:w="1375"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建设农村公益性墓地审批</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widowControl/>
              <w:jc w:val="center"/>
              <w:textAlignment w:val="center"/>
              <w:rPr>
                <w:rFonts w:asciiTheme="minorEastAsia" w:hAnsiTheme="minorEastAsia" w:eastAsiaTheme="minorEastAsia" w:cstheme="minorEastAsia"/>
                <w:sz w:val="18"/>
                <w:szCs w:val="18"/>
              </w:rPr>
            </w:pPr>
          </w:p>
        </w:tc>
      </w:tr>
    </w:tbl>
    <w:tbl>
      <w:tblPr>
        <w:tblStyle w:val="4"/>
        <w:tblpPr w:leftFromText="180" w:rightFromText="180" w:vertAnchor="text" w:horzAnchor="page" w:tblpXSpec="center" w:tblpY="278"/>
        <w:tblOverlap w:val="never"/>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2"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2</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乡（镇）村公共设施、公益事业使用集体建设用地审批</w:t>
            </w:r>
          </w:p>
        </w:tc>
        <w:tc>
          <w:tcPr>
            <w:tcW w:w="1247" w:type="dxa"/>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2、其他法律法规规章文件规定应履行的责任。</w:t>
            </w: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tc>
        <w:tc>
          <w:tcPr>
            <w:tcW w:w="3050"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因不履行或不正确履行行政职责，有下列情形的，行政机关及相关工作人员应当承担相应的责任：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211"/>
        <w:tblOverlap w:val="never"/>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6"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3</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乡村建设规划许可</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4、不依法履行监督职责或者监督不力，许可企业生产假药、劣药的；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6、应当举行听证而不举行听证的；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c>
          <w:tcPr>
            <w:tcW w:w="737"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139"/>
        <w:tblOverlap w:val="never"/>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4</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农村村民宅基地审批</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4、不依法履行监督职责或者监督不力；</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6、应当举行听证而不举行听证的；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8、办理过程中实施监督检查，索取或者收受他人财物或者谋取其他利益的；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296"/>
        <w:tblOverlap w:val="never"/>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5</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承包期内需调整承包地批准</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p>
            <w:pPr>
              <w:widowControl/>
              <w:textAlignment w:val="center"/>
              <w:rPr>
                <w:rFonts w:asciiTheme="minorEastAsia" w:hAnsiTheme="minorEastAsia" w:eastAsiaTheme="minorEastAsia" w:cstheme="minorEastAsia"/>
                <w:kern w:val="0"/>
                <w:sz w:val="18"/>
                <w:szCs w:val="18"/>
                <w:lang w:bidi="ar"/>
              </w:rPr>
            </w:pP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5</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ascii="仿宋_GB2312" w:hAnsi="宋体" w:cs="仿宋_GB2312"/>
                <w:kern w:val="0"/>
                <w:sz w:val="21"/>
                <w:szCs w:val="21"/>
                <w:lang w:bidi="ar"/>
              </w:rPr>
              <w:t>适龄儿童、少年因身体状况需要延缓入学或者休学审批</w:t>
            </w:r>
          </w:p>
        </w:tc>
        <w:tc>
          <w:tcPr>
            <w:tcW w:w="1247" w:type="dxa"/>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p>
            <w:pPr>
              <w:widowControl/>
              <w:jc w:val="left"/>
              <w:textAlignment w:val="top"/>
              <w:rPr>
                <w:rFonts w:asciiTheme="minorEastAsia" w:hAnsiTheme="minorEastAsia" w:eastAsiaTheme="minorEastAsia" w:cstheme="minorEastAsia"/>
                <w:kern w:val="0"/>
                <w:sz w:val="18"/>
                <w:szCs w:val="18"/>
                <w:lang w:bidi="ar"/>
              </w:rPr>
            </w:pP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6"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6</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生鲜乳收购许可</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2"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7</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水域滩涂养殖证核发</w:t>
            </w:r>
          </w:p>
        </w:tc>
        <w:tc>
          <w:tcPr>
            <w:tcW w:w="1247" w:type="dxa"/>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7.工作过程中索要或者收受他人财物或者谋取其他利益的。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71"/>
        <w:tblOverlap w:val="never"/>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8</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个体工商户登记注册</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52"/>
        <w:tblOverlap w:val="never"/>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8"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9</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食品经营许可</w:t>
            </w:r>
          </w:p>
        </w:tc>
        <w:tc>
          <w:tcPr>
            <w:tcW w:w="1247" w:type="dxa"/>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tc>
        <w:tc>
          <w:tcPr>
            <w:tcW w:w="3050" w:type="dxa"/>
            <w:vAlign w:val="center"/>
          </w:tcPr>
          <w:p>
            <w:pPr>
              <w:widowControl/>
              <w:jc w:val="left"/>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7.工作过程中索要或者收受他人财物或者谋取其他利益的。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horzAnchor="page" w:tblpX="1596" w:tblpY="38"/>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3"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10</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在村庄、集镇规划区内公共场所修建临时建筑等设施审批</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4、不依法履行监督职责或者监督不力，许可企业生产假药、劣药的；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6、应当举行听证而不举行听证的；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0"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11</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食品小餐饮登记</w:t>
            </w:r>
          </w:p>
        </w:tc>
        <w:tc>
          <w:tcPr>
            <w:tcW w:w="1247" w:type="dxa"/>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食品生产加工小作坊登记</w:t>
            </w:r>
          </w:p>
        </w:tc>
        <w:tc>
          <w:tcPr>
            <w:tcW w:w="1247" w:type="dxa"/>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tcPr>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atLeast"/>
        </w:trPr>
        <w:tc>
          <w:tcPr>
            <w:tcW w:w="69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13</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林木采伐许可证核发</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numPr>
                <w:ilvl w:val="0"/>
                <w:numId w:val="1"/>
              </w:numP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14</w:t>
            </w:r>
          </w:p>
          <w:p>
            <w:pPr>
              <w:widowControl/>
              <w:jc w:val="center"/>
              <w:textAlignment w:val="center"/>
              <w:rPr>
                <w:rFonts w:asciiTheme="minorEastAsia" w:hAnsiTheme="minorEastAsia" w:eastAsiaTheme="minorEastAsia" w:cstheme="minorEastAsia"/>
                <w:kern w:val="0"/>
                <w:sz w:val="18"/>
                <w:szCs w:val="18"/>
                <w:lang w:bidi="ar"/>
              </w:rPr>
            </w:pP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农药经营许可</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15</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公共场所卫生许可</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atLeast"/>
        </w:trPr>
        <w:tc>
          <w:tcPr>
            <w:tcW w:w="69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16</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乡村医生执业注册</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atLeast"/>
        </w:trPr>
        <w:tc>
          <w:tcPr>
            <w:tcW w:w="69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17</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拖拉机和联合收割机登记</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18</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护士执业注册</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2、其他法律法规规章文件规定应履行的责任。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19</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工商企业等社会资本通过流转取得土地经营权审批</w:t>
            </w:r>
          </w:p>
        </w:tc>
        <w:tc>
          <w:tcPr>
            <w:tcW w:w="1247"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新镇镇人民政府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冀政务办【2023】83号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F80C9"/>
    <w:multiLevelType w:val="singleLevel"/>
    <w:tmpl w:val="F13F80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0MTkwYmE2ZWVkODdjOGEyYmE4YzBlZTcwMGYwYWMifQ=="/>
  </w:docVars>
  <w:rsids>
    <w:rsidRoot w:val="00224094"/>
    <w:rsid w:val="000F7460"/>
    <w:rsid w:val="00224094"/>
    <w:rsid w:val="00242288"/>
    <w:rsid w:val="00494D5F"/>
    <w:rsid w:val="005E74EF"/>
    <w:rsid w:val="00AB5047"/>
    <w:rsid w:val="00B369B9"/>
    <w:rsid w:val="00BA18EB"/>
    <w:rsid w:val="00BD15BF"/>
    <w:rsid w:val="00C437CF"/>
    <w:rsid w:val="00C43FFF"/>
    <w:rsid w:val="00C731E9"/>
    <w:rsid w:val="00C9010F"/>
    <w:rsid w:val="00E31AEE"/>
    <w:rsid w:val="00FC29F7"/>
    <w:rsid w:val="00FE5A9D"/>
    <w:rsid w:val="32D9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8656</Words>
  <Characters>8839</Characters>
  <Lines>74</Lines>
  <Paragraphs>20</Paragraphs>
  <TotalTime>53</TotalTime>
  <ScaleCrop>false</ScaleCrop>
  <LinksUpToDate>false</LinksUpToDate>
  <CharactersWithSpaces>9976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2024-06-19T02:34:00Z</dcterms:created>
  <dc:creator>waxzck@outlook.com</dc:creator>
  <cp:lastModifiedBy>万物生</cp:lastModifiedBy>
  <dcterms:modified xsi:type="dcterms:W3CDTF">2024-06-20T07:19:42Z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DD59526D0C5C426AA5E1E1C03FCBB981_12</vt:lpwstr>
  </property>
</Properties>
</file>