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责任事项和追责情形依据分表</w:t>
      </w:r>
    </w:p>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（行政许可19项）</w:t>
      </w:r>
    </w:p>
    <w:p>
      <w:pPr>
        <w:spacing w:line="6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lang w:eastAsia="zh-CN"/>
        </w:rPr>
        <w:t>孙氏镇</w:t>
      </w:r>
      <w:bookmarkStart w:id="0" w:name="_GoBack"/>
      <w:bookmarkEnd w:id="0"/>
      <w:r>
        <w:rPr>
          <w:rFonts w:hint="eastAsia" w:asciiTheme="minorEastAsia" w:hAnsiTheme="minorEastAsia" w:eastAsiaTheme="minorEastAsia" w:cstheme="minorEastAsia"/>
          <w:sz w:val="24"/>
          <w:szCs w:val="24"/>
        </w:rPr>
        <w:t>人民政府（公章）</w:t>
      </w:r>
    </w:p>
    <w:tbl>
      <w:tblPr>
        <w:tblStyle w:val="2"/>
        <w:tblpPr w:leftFromText="180" w:rightFromText="180" w:vertAnchor="text" w:tblpXSpec="center" w:tblpY="1"/>
        <w:tblOverlap w:val="never"/>
        <w:tblW w:w="13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2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4"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建设农村公益性墓地审批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1.《殡葬管理条例》（2012年11月9日修正）第二十三条</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3.《殡葬管理条例》第二十三条殡仪服务人员利用工作之便索取财物的，由民政部门责令退赔；构成犯罪的，依法追究刑事责任。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trPr>
        <w:tc>
          <w:tcPr>
            <w:tcW w:w="790"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乡（镇）村公共设施、公益事业使用集体建设用地审批</w:t>
            </w:r>
          </w:p>
        </w:tc>
        <w:tc>
          <w:tcPr>
            <w:tcW w:w="5250" w:type="dxa"/>
          </w:tcPr>
          <w:p>
            <w:pPr>
              <w:widowControl/>
              <w:numPr>
                <w:ilvl w:val="0"/>
                <w:numId w:val="1"/>
              </w:numPr>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2-1.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                        2-2.第四十四条 建设占用土地，涉及农用地转为建设用地的，应当办理农用地转用审批手续。永久基本农田转为建设用地的，由国务院批准。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                                                                                                                                  3.《河北省集体建设用地使用权流转管理办法》集体建设用地使用权流转应当符合土地利用总体规划，并具备下列各项条件: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(一)所有权人、使用权人依法取得土地所有权或者使用权证书;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(二)土地权属没有争议;</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(三)土地权利的行使未被司法机关、行政机关依法限制;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(四)共有的集体建设用地使用权已经所有共有人书面同意。                                                                                  4-1.《行政许可法》第四十四条“行政机关作出准予行政许可的决定，应当自作出决定之日起十日内向申请人颁发、送达行政许可证件，或者加贴标签、加盖检验、检测、检疫印章。”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4-2.《行政许可法》第四十条“行政机关作出的准予行政许可决定，应当予以公开，公众有权查阅。”</w:t>
            </w:r>
          </w:p>
        </w:tc>
        <w:tc>
          <w:tcPr>
            <w:tcW w:w="4862" w:type="dxa"/>
          </w:tcPr>
          <w:p>
            <w:pPr>
              <w:widowControl/>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4.河北省相关法律法规规章等。                                   5.同1。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tbl>
      <w:tblPr>
        <w:tblStyle w:val="2"/>
        <w:tblpPr w:leftFromText="180" w:rightFromText="180" w:vertAnchor="text" w:horzAnchor="margin" w:tblpY="-185"/>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7"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乡村建设规划许可证</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2.《中华人民共和国城乡规划法》第六十一条</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县级以上人民政府有关部门有下列行为之一的，由本级人民政府或者上级人民政府有关部门责令改正，通报批评；对直接负责的主管人员和其他直接责任人员依法给予处分： （一）对未依法取得选址意见书的建设项目核发建设项目批准文件的； （二）未依法在国有土地使用权出让合同中确定规划条件或者改变国有土地使用权出让合同中依法确定的规划条件的； （三）对未依法取得建设用地规划许可证的建设单位划拨国有土地使用权的。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3.《中华人民共和国城乡规划法》第六十一条 县级以上人民政府有关部门有下列行为之一的，由本级人民政府或者上级人民政府有关部门责令改正，通报批评；对直接负责的主管人员和其他直接责任人员依法给予处分： （一）对未依法取得选址意见书的建设项目核发建设项目批准文件的； （二）未依法在国有土地使用权出让合同中确定规划条件或者改变国有土地使用权出让合同中依法确定的规划条件的； （三）对未依法取得建设用地规划许可证的建设单位划拨国有土地使用权的。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农村村民宅基地审批</w:t>
            </w:r>
          </w:p>
        </w:tc>
        <w:tc>
          <w:tcPr>
            <w:tcW w:w="5250"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土地管理法》（2019年8月26日修订），应当根据下列情况分别作出处理：【申请条件】申请使用宅基地的，应当为宅基地所在地的农村集体经济组织成员，并应当符合下列条件之一：(一)已依法登记结婚或者本户中有两名以上已达法定婚龄的未婚子女需要分户的；(二)因自然灾害、征地、村庄和集镇公益事业建设等原因宅基地灭失或者不能使用且户内没有其他宅基地的；(三)外来人口落户成为本集体经济组织成员，在本集体内没有宅基地的；(四)因实施村庄规划或者旧村改造，需要调整搬迁的；原有的宅基地面积低于本办法规定标准的，可以按照前款规定申请新的宅基地，但应当交回原使用的宅基地。</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禁止条件】农村集体经济组织成员申请宅基地，有下列情形之一的，不予批准：(一)已拥有一处宅基地且不低于本办法第九条规定标准的；(二)出卖、出租、赠与他人住房或者以其他形式转让住房的；(三)原住房改变用途的；(四)不具备分户条件而以分户为由的；(五)其他不符合申请的情形。</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土地管理法》（2019年8月26日修订）农村集体经济组织成员建设住宅，应当在竣工后，凭乡(镇)或县级以上人民的政府的用地批准文件向县级以上人民的政府土地登记机关提出宅基地使用权登记申请。 依法报市、县(含县级市、区)以上人民的政府登记造册，核发土地权利证书。 县级以上人民的政府土地登记机关接到申请后，对符合登记条件的，应当自申请之日起20日办结宅基地登记审查手续。 特殊情况需要延期的，经县级以上土地登记机关负责人批准后，可以延长10日。 依法继承房屋和依据法院生效文书取得房屋所有权的，可以办理宅基地使用权登记。；不符合规定的，作出不予批准的书面决定，并说明理由，同时告知申请人享有依法申请行政复议或者提起行政诉讼的权利。”</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4-1.《行政许可法》第四十四条“行政机关作出准予行政许可的决定，应当自作出决定之日起十日内向申请人颁发、送达行政许可证件，或者加贴标签、加盖检验、检测、检疫印章。”</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4-2.《行政许可法》第四十条“行政机关作出的准予行政许可决定，应当予以公开，公众有权查阅。</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5.《中华人民共和国土地管理法》（2019年8月26日修订）第六十二条 农村村民一户只能拥有一处宅基地，其宅基地的面积不得超过省、自治区、直辖市规定的标准。人均土地少、不能保障一户拥有一处宅基地的地区，县级人民政府在充分尊重农村村民意愿的基础上，可以采取措施，按照省、自治区、直辖市规定的标准保障农村村民实现户有所居。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农村村民出卖、出租、赠与住宅后，再申请宅基地的，不予批准。国家允许进城落户的农村村民依法自愿有偿退出宅基地，鼓励农村集体经济组织及其成员盘活利用闲置宅基地和闲置住宅。国务院农业农村主管部门负责全国农村宅基地改革和管理有关工作。”</w:t>
            </w:r>
          </w:p>
        </w:tc>
        <w:tc>
          <w:tcPr>
            <w:tcW w:w="4862"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4-1.《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5.河北省相关法律法规规章等。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6.同1。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7.《行政许可法》第七十三条“行政机关工作人员办理行政许可、实施监督检查，索取或者收受他人财物或者谋取其他利益，构成犯罪的，依法追究刑事责任；尚不构成犯罪的，依法给予行政处分。”                                                                                                                                      </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0"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w:t>
            </w:r>
          </w:p>
        </w:tc>
        <w:tc>
          <w:tcPr>
            <w:tcW w:w="1475"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适龄儿童、少年因身体状况需要延缓入学或者休学审批</w:t>
            </w:r>
          </w:p>
        </w:tc>
        <w:tc>
          <w:tcPr>
            <w:tcW w:w="5250"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1.《中华人民共和国农村土地承包法》（2018年12月29日修正）</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农村土地承包法》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6"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w:t>
            </w:r>
          </w:p>
        </w:tc>
        <w:tc>
          <w:tcPr>
            <w:tcW w:w="1475"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生鲜乳收购许可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1.《乳品质量安全监督管理条例》（2008年10月9日国务院令第536号）</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color w:val="000000"/>
                <w:spacing w:val="8"/>
                <w:sz w:val="15"/>
                <w:szCs w:val="15"/>
                <w:shd w:val="clear" w:color="auto" w:fill="FFFFFF"/>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color w:val="000000"/>
                <w:spacing w:val="8"/>
                <w:sz w:val="15"/>
                <w:szCs w:val="15"/>
                <w:shd w:val="clear" w:color="auto" w:fill="FFFFFF"/>
              </w:rPr>
              <w:t xml:space="preserve">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7</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水域滩涂养殖证核发</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渔业法》第四十九条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渔业法》第四十九条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6.河北省相关法律法规规章等。</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w:t>
            </w:r>
          </w:p>
        </w:tc>
        <w:tc>
          <w:tcPr>
            <w:tcW w:w="1475"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个体工商户注册登记</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1.《个体商户条例》（2016年2月6日修订</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color w:val="000000"/>
                <w:spacing w:val="8"/>
                <w:sz w:val="15"/>
                <w:szCs w:val="15"/>
                <w:shd w:val="clear" w:color="auto" w:fill="FFFFFF"/>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color w:val="000000"/>
                <w:sz w:val="15"/>
                <w:szCs w:val="15"/>
                <w:shd w:val="clear" w:color="auto" w:fill="FFFFFF"/>
              </w:rPr>
              <w:t>工商行政管理部门以及其他有关部门的工作人员，滥用职权、徇私舞弊、收受贿赂或者侵害个体工商户合法权益的，依法给予处分；构成犯罪的，依法追究刑事责任。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color w:val="000000"/>
                <w:spacing w:val="8"/>
                <w:sz w:val="15"/>
                <w:szCs w:val="15"/>
                <w:shd w:val="clear" w:color="auto" w:fill="FFFFFF"/>
              </w:rPr>
              <w:t xml:space="preserve">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7"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9</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食品经营许可</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2.《中华人民共和国食品安全法》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第一百四十三条　违反本法规定，县级以上地方人民政府有下列行为之一的，对直接负责的主管人员和其他直接责任人员给予警告、记过或者记大过处分；造成严重后果的，给予降级或者撤职处分: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3.《中华人民共和国食品安全法》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对发生在本行政区域内的食品安全事故，未及时组织协调有关部门开展有效处置，造成不良影响或者损失；（二）对本行政区域内涉及多环节的区域性食品安全问题，未及时组织整治，造成不良影响或者损失；（三）隐瞒、谎报、缓报食品安全事故；（四）本行政区域内发生特别重大食品安全事故，或者连续发生重大食品安全事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第一百四十三条　违反本法规定，县级以上地方人民政府有下列行为之一的，对直接负责的主管人员和其他直接责任人员给予警告、记过或者记大过处分；造成严重后果的，给予降级或者撤职处分:（一）未确定有关部门的食品安全监督管理职责，未建立健全食品安全全程监督管理工作机制和信息共享机制，未落实食品安全监督管理责任制；（二）未制定本行政区域的食品安全事故应急预案，或者发生食品安全事故后未按规定立即成立事故处置指挥机构、启动应急预案。</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一）隐瞒、谎报、缓报食品安全事故；（二）未按规定查处食品安全事故，或者接到食品安全事故报告未及时处理，造成事故扩大或者蔓延；（三）经食品安全风险评估得出食品、食品添加剂、食品相关产品不安全结论后，未及时采取相应措施，造成食品安全事故或者不良社会影响；（四）对不符合条件的申请人准予许可，或者超越法定职权准予许可；（五）不履行食品安全监督管理职责，导致发生食品安全事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一）在获知有关食品安全信息后，未按规定向上级主管部门和本级人民政府报告，或者未按规定相互通报；（二）未按规定公布食品安全信息；（三）不履行法定职责，对查处食品安全违法行为不配合，或者滥用职权、玩忽职守、徇私舞弊。</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6.河北省相关法律法规规章等。</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8"/>
                <w:szCs w:val="18"/>
                <w:lang w:bidi="ar"/>
              </w:rPr>
              <w:t>在村庄、集镇规划区内公共场所修建临时建筑等设施审批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《村庄和集镇规划建设管理条例》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18</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食品小餐饮登记</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2.《河北省小餐饮登记管理办法》第八条办理小餐饮登记证申请，应提交以下材料，并对材料的真实性负责。</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（一）《小餐饮登记证申请书》；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（二）开办者的身份证（明）原件及复印件；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（三）经营场所平面图，设备布局、卫生设施等示意图；</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（四）食品安全自查、从业人员健康管理、进货查验记录等制度；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（五）法律法规规定应当提交的其他证明材料。</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 3.《河北省小餐饮登记管理办法》第六条小餐饮登记应符合下列条件：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 经营场所远离污染源。距离粪坑、污水池、暴露垃圾场(站)、动物养殖场、旱厕等污染源25m以上；</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 操作间和就餐场所均应设在室内，操作间与就餐场所宜使用玻璃等透明材料区分或隔断，将加工过程公开给消费者，卫生间不得设置在操作间内；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 厨房各功能区布局合理，粗加工、烹饪、餐用具清洗消毒、食品原辅材料贮存区域等场所分区应明确，防止食品在存放、操作中产生交叉污染；</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 供应少量蔬菜类凉拌菜的（如拍黄瓜、凉拌海带丝等）应设置相应的专用区域，专用的案板和刀用具。供应冷荤、卤味等其他凉拌菜的应设置相应的操作专间；</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 地面使用不透水、易清洗、防滑的材料，墙壁、顶面采用防霉、防水材料。有通风排烟设施，窗户应有防蝇纱网；</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（六）有大小和数量能满足需要的食品冷冻冷藏设备设施；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（七）餐用具清洗、消毒和保洁设施的数量或容量应能满足需要；有密闭的清洁餐饮具贮存保洁设施。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提倡配备若干存放未清洗餐饮具的周转箱（桶）；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（八）食品原材料专用清洗设施的数量或容量应与加工食品的品种、数量相适应；</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（九）有一定数量的食品存放架，食品和食品容器上架存放；</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（十）有纱窗（门）、灭蝇灯和防鼠板等防虫防鼠设施；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（十一）有充足的采光照明设施，就餐场所和食品加工处理区光线充足；</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（十二）烹调区有机械排烟、排气装置；</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（十三）食品处理区、就餐场所、专间内设足够数量的餐厨废弃物暂存容器。</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提倡就餐场所每张餐桌下面设一个垃圾篓，并提示消费者垃圾入篓；</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（十四）设置专用于拖把等清洁工具、用具的清洗设施；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（十五）操作间面积原则上不小于6㎡。</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4.《行政许可法》第四十条“行政机关作出的准予行政许可决定，应当予以公开，公众有权查阅。”                                             </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widowControl/>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5.河北省相关法律法规规章等。                                                                                                           6.同1。                                                                                                                                   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39"/>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9" w:hRule="atLeast"/>
        </w:trPr>
        <w:tc>
          <w:tcPr>
            <w:tcW w:w="826"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12</w:t>
            </w:r>
          </w:p>
        </w:tc>
        <w:tc>
          <w:tcPr>
            <w:tcW w:w="1439"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食品生产加工小作坊登记</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2.《食品加工小作坊登记》第九条  食品小作坊应当符合《河北省食品小作坊小餐饮小摊点管理条例》第十八条规定的条件，并向所在地县级食品药品监督管理部门申请登记，获得河北省食品小作坊登记证(含临时登记证)后，方可从事登记范围内食品生产加工活动。</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第十条  食品小作坊提出登记申请，应按照《河北省食品小作坊小餐饮小摊点管理条例》第十九条规定提供材料，并对材料的真实性、合法性、有效性负责。                                                                                                                                    3.《食品加工小作坊登记》第十一条　县级食品药品监督管理部门对食品小作坊登记申请，应当根据下列情况分别作出处理：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（一）申请事项依法不需要登记的，应当即时告知申请人不受理。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（二）申请事项依法不属于食品药品监督管理部门职权范围的，应当即时作出不予受理的决定，并告知申请人向有关行政机关申请。</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（三）申请材料存在可以当场更正的错误的，应当允许申请人当场更正，由申请人在更正处签名或者盖章，注明更正日期。</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    （四）申请材料不齐全或者不符合法定形式的，应当当场或者在五个工作日内一次告知申请人需要补正的全部内容。当场告知的，应当将申请材料退回申请人；在五个工作日内告知的，应当收取申请材料并出具收到申请材料的凭据。逾期不告知的，自收到申请材料之日起即为受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（五）申请材料齐全、符合法定形式，或者申请人按照要求提交全部补正材料的，应当受理食品小作坊登记申请。</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4-2.《行政许可法》第四十条“行政机关作出的准予行政许可决定，应当予以公开，公众有权查阅。”                                             </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5.河北省相关法律法规规章等。                                                                                                           6.同1。                                                                                                                                   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13</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林木采伐许可证核发</w:t>
            </w:r>
          </w:p>
        </w:tc>
        <w:tc>
          <w:tcPr>
            <w:tcW w:w="5250" w:type="dxa"/>
            <w:vAlign w:val="center"/>
          </w:tcPr>
          <w:p>
            <w:pPr>
              <w:widowControl/>
              <w:spacing w:line="240" w:lineRule="exact"/>
              <w:rPr>
                <w:rFonts w:asciiTheme="minorEastAsia" w:hAnsiTheme="minorEastAsia" w:eastAsiaTheme="minorEastAsia" w:cstheme="minorEastAsia"/>
                <w:sz w:val="15"/>
                <w:szCs w:val="15"/>
              </w:rPr>
            </w:pP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4、《中华人民共和国森林法》（2019年12月28日修订）</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14</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农药经营许可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农药管理条例》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15</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公共场所卫生许可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公共场所卫生管理条例》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16</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乡村医生执业注册</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《乡村医生从业管理条例》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17</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拖拉机和联合收割机登记</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jc w:val="left"/>
              <w:textAlignment w:val="center"/>
              <w:rPr>
                <w:rFonts w:ascii="仿宋_GB2312" w:hAnsi="宋体" w:cs="仿宋_GB2312"/>
                <w:color w:val="000000"/>
                <w:kern w:val="0"/>
                <w:sz w:val="15"/>
                <w:szCs w:val="15"/>
                <w:lang w:bidi="ar"/>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《中华人民共和国道路交通安全法》</w:t>
            </w:r>
          </w:p>
          <w:p>
            <w:pPr>
              <w:widowControl/>
              <w:spacing w:line="240" w:lineRule="exact"/>
              <w:rPr>
                <w:rFonts w:asciiTheme="minorEastAsia" w:hAnsiTheme="minorEastAsia" w:eastAsiaTheme="minorEastAsia" w:cstheme="minorEastAsia"/>
                <w:sz w:val="15"/>
                <w:szCs w:val="15"/>
              </w:rPr>
            </w:pPr>
            <w:r>
              <w:rPr>
                <w:rFonts w:hint="eastAsia" w:ascii="仿宋_GB2312" w:hAnsi="宋体" w:cs="仿宋_GB2312"/>
                <w:color w:val="000000"/>
                <w:kern w:val="0"/>
                <w:sz w:val="15"/>
                <w:szCs w:val="15"/>
                <w:lang w:bidi="ar"/>
              </w:rPr>
              <w:t>5</w:t>
            </w:r>
            <w:r>
              <w:rPr>
                <w:rFonts w:ascii="仿宋_GB2312" w:hAnsi="宋体" w:cs="仿宋_GB2312"/>
                <w:color w:val="000000"/>
                <w:kern w:val="0"/>
                <w:sz w:val="15"/>
                <w:szCs w:val="15"/>
                <w:lang w:bidi="ar"/>
              </w:rPr>
              <w:t>《农业机械安全监督管理条例》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18</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护士执业注册</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《护士条例》</w:t>
            </w:r>
            <w:r>
              <w:rPr>
                <w:rFonts w:ascii="仿宋_GB2312" w:hAnsi="宋体" w:cs="仿宋_GB2312"/>
                <w:color w:val="000000"/>
                <w:kern w:val="0"/>
                <w:sz w:val="15"/>
                <w:szCs w:val="15"/>
                <w:lang w:bidi="ar"/>
              </w:rPr>
              <w:br w:type="textWrapping"/>
            </w:r>
            <w:r>
              <w:rPr>
                <w:rFonts w:hint="eastAsia" w:ascii="仿宋_GB2312" w:hAnsi="宋体" w:cs="仿宋_GB2312"/>
                <w:color w:val="000000"/>
                <w:kern w:val="0"/>
                <w:sz w:val="15"/>
                <w:szCs w:val="15"/>
                <w:lang w:bidi="ar"/>
              </w:rPr>
              <w:t>5、</w:t>
            </w:r>
            <w:r>
              <w:rPr>
                <w:rFonts w:ascii="仿宋_GB2312" w:hAnsi="宋体" w:cs="仿宋_GB2312"/>
                <w:color w:val="000000"/>
                <w:kern w:val="0"/>
                <w:sz w:val="15"/>
                <w:szCs w:val="15"/>
                <w:lang w:bidi="ar"/>
              </w:rPr>
              <w:t>《国家职业资格目录（2021年版）》</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19</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8"/>
                <w:szCs w:val="18"/>
                <w:lang w:bidi="ar"/>
              </w:rPr>
              <w:t>工商企业等社会资本通过流转取得土地经营权审批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rPr>
                <w:rFonts w:ascii="微软雅黑" w:hAnsi="微软雅黑" w:eastAsia="微软雅黑" w:cs="微软雅黑"/>
                <w:color w:val="333333"/>
                <w:sz w:val="15"/>
                <w:szCs w:val="15"/>
                <w:shd w:val="clear" w:color="auto" w:fill="FFFFFF"/>
              </w:rPr>
            </w:pPr>
            <w:r>
              <w:rPr>
                <w:rFonts w:hint="eastAsia" w:ascii="微软雅黑" w:hAnsi="微软雅黑" w:eastAsia="微软雅黑" w:cs="微软雅黑"/>
                <w:color w:val="333333"/>
                <w:sz w:val="15"/>
                <w:szCs w:val="15"/>
                <w:shd w:val="clear" w:color="auto" w:fill="FFFFFF"/>
              </w:rPr>
              <w:t>4、</w:t>
            </w:r>
            <w:r>
              <w:rPr>
                <w:rFonts w:ascii="微软雅黑" w:hAnsi="微软雅黑" w:eastAsia="微软雅黑" w:cs="微软雅黑"/>
                <w:color w:val="333333"/>
                <w:sz w:val="15"/>
                <w:szCs w:val="15"/>
                <w:shd w:val="clear" w:color="auto" w:fill="FFFFFF"/>
              </w:rPr>
              <w:t>《中华人民共和国农村土地承包法》第四十五条</w:t>
            </w:r>
          </w:p>
          <w:p>
            <w:pPr>
              <w:widowControl/>
              <w:spacing w:line="240" w:lineRule="exact"/>
              <w:rPr>
                <w:rFonts w:asciiTheme="minorEastAsia" w:hAnsiTheme="minorEastAsia" w:eastAsiaTheme="minorEastAsia" w:cstheme="minorEastAsia"/>
                <w:sz w:val="15"/>
                <w:szCs w:val="15"/>
              </w:rPr>
            </w:pPr>
            <w:r>
              <w:rPr>
                <w:rFonts w:ascii="微软雅黑" w:hAnsi="微软雅黑" w:eastAsia="微软雅黑" w:cs="微软雅黑"/>
                <w:color w:val="333333"/>
                <w:sz w:val="15"/>
                <w:szCs w:val="15"/>
                <w:shd w:val="clear" w:color="auto" w:fill="FFFFFF"/>
              </w:rPr>
              <w:t>第四十五条：“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sectPr>
      <w:pgSz w:w="16838" w:h="11906" w:orient="landscape"/>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CBE0"/>
    <w:multiLevelType w:val="singleLevel"/>
    <w:tmpl w:val="1243CB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D5"/>
    <w:rsid w:val="00017761"/>
    <w:rsid w:val="000327B6"/>
    <w:rsid w:val="001820D0"/>
    <w:rsid w:val="00290D8D"/>
    <w:rsid w:val="003E43E4"/>
    <w:rsid w:val="003E7878"/>
    <w:rsid w:val="003F1458"/>
    <w:rsid w:val="004A2B56"/>
    <w:rsid w:val="0062057E"/>
    <w:rsid w:val="008652D5"/>
    <w:rsid w:val="00AB5047"/>
    <w:rsid w:val="00C731E9"/>
    <w:rsid w:val="00DE3DD1"/>
    <w:rsid w:val="00FC29F7"/>
    <w:rsid w:val="6400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font21"/>
    <w:qFormat/>
    <w:uiPriority w:val="0"/>
    <w:rPr>
      <w:rFonts w:hint="default" w:ascii="仿宋_GB2312" w:eastAsia="仿宋_GB2312" w:cs="仿宋_GB2312"/>
      <w:color w:val="000000"/>
      <w:sz w:val="18"/>
      <w:szCs w:val="18"/>
      <w:u w:val="none"/>
    </w:rPr>
  </w:style>
  <w:style w:type="character" w:customStyle="1" w:styleId="5">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083B6-043F-43BB-A556-A0B18FEB81E7}">
  <ds:schemaRefs/>
</ds:datastoreItem>
</file>

<file path=docProps/app.xml><?xml version="1.0" encoding="utf-8"?>
<Properties xmlns="http://schemas.openxmlformats.org/officeDocument/2006/extended-properties" xmlns:vt="http://schemas.openxmlformats.org/officeDocument/2006/docPropsVTypes">
  <Template>Normal</Template>
  <Pages>21</Pages>
  <Words>3857</Words>
  <Characters>21985</Characters>
  <Lines>183</Lines>
  <Paragraphs>51</Paragraphs>
  <TotalTime>50</TotalTime>
  <ScaleCrop>false</ScaleCrop>
  <LinksUpToDate>false</LinksUpToDate>
  <CharactersWithSpaces>25791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2024-06-19T03:14:00Z</dcterms:created>
  <dc:creator>waxzck@outlook.com</dc:creator>
  <cp:lastModifiedBy>Administrator</cp:lastModifiedBy>
  <dcterms:modified xsi:type="dcterms:W3CDTF">2024-06-20T00:15:42Z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