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责任事项和追责情形依据分表</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（行政许可19项）</w:t>
      </w:r>
    </w:p>
    <w:p>
      <w:pPr>
        <w:spacing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val="en-US" w:eastAsia="zh-CN"/>
        </w:rPr>
        <w:t>新镇镇</w:t>
      </w:r>
      <w:bookmarkStart w:id="0" w:name="_GoBack"/>
      <w:bookmarkEnd w:id="0"/>
      <w:r>
        <w:rPr>
          <w:rFonts w:hint="eastAsia" w:asciiTheme="minorEastAsia" w:hAnsiTheme="minorEastAsia" w:eastAsiaTheme="minorEastAsia" w:cstheme="minorEastAsia"/>
          <w:sz w:val="24"/>
          <w:szCs w:val="24"/>
        </w:rPr>
        <w:t>人民政府（公章）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2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建设农村公益性墓地审批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1.《殡葬管理条例》（2012年11月9日修正）第二十三条</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3.《殡葬管理条例》第二十三条殡仪服务人员利用工作之便索取财物的，由民政部门责令退赔；构成犯罪的，依法追究刑事责任。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90"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乡（镇）村公共设施、公益事业使用集体建设用地审批</w:t>
            </w:r>
          </w:p>
        </w:tc>
        <w:tc>
          <w:tcPr>
            <w:tcW w:w="5250" w:type="dxa"/>
          </w:tcPr>
          <w:p>
            <w:pPr>
              <w:widowControl/>
              <w:numPr>
                <w:ilvl w:val="0"/>
                <w:numId w:val="1"/>
              </w:numPr>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2-1.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                        2-2.第四十四条 建设占用土地，涉及农用地转为建设用地的，应当办理农用地转用审批手续。永久基本农田转为建设用地的，由国务院批准。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                                                                                                                                  3.《河北省集体建设用地使用权流转管理办法》集体建设用地使用权流转应当符合土地利用总体规划，并具备下列各项条件: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(一)所有权人、使用权人依法取得土地所有权或者使用权证书;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(二)土地权属没有争议;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(三)土地权利的行使未被司法机关、行政机关依法限制;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(四)共有的集体建设用地使用权已经所有共有人书面同意。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tc>
        <w:tc>
          <w:tcPr>
            <w:tcW w:w="4862" w:type="dxa"/>
          </w:tcPr>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4.河北省相关法律法规规章等。                                   5.同1。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tbl>
      <w:tblPr>
        <w:tblStyle w:val="2"/>
        <w:tblpPr w:leftFromText="180" w:rightFromText="180" w:vertAnchor="text" w:horzAnchor="margin" w:tblpY="-185"/>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乡村建设规划许可证</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2.《中华人民共和国城乡规划法》第六十一条</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3.《中华人民共和国城乡规划法》第六十一条 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农村村民宅基地审批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土地管理法》（2019年8月26日修订），应当根据下列情况分别作出处理：【申请条件】申请使用宅基地的，应当为宅基地所在地的农村集体经济组织成员，并应当符合下列条件之一：(一)已依法登记结婚或者本户中有两名以上已达法定婚龄的未婚子女需要分户的；(二)因自然灾害、征地、村庄和集镇公益事业建设等原因宅基地灭失或者不能使用且户内没有其他宅基地的；(三)外来人口落户成为本集体经济组织成员，在本集体内没有宅基地的；(四)因实施村庄规划或者旧村改造，需要调整搬迁的；原有的宅基地面积低于本办法规定标准的，可以按照前款规定申请新的宅基地，但应当交回原使用的宅基地。</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禁止条件】农村集体经济组织成员申请宅基地，有下列情形之一的，不予批准：(一)已拥有一处宅基地且不低于本办法第九条规定标准的；(二)出卖、出租、赠与他人住房或者以其他形式转让住房的；(三)原住房改变用途的；(四)不具备分户条件而以分户为由的；(五)其他不符合申请的情形。</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土地管理法》（2019年8月26日修订）农村集体经济组织成员建设住宅，应当在竣工后，凭乡(镇)或县级以上人民的政府的用地批准文件向县级以上人民的政府土地登记机关提出宅基地使用权登记申请。 依法报市、县(含县级市、区)以上人民的政府登记造册，核发土地权利证书。 县级以上人民的政府土地登记机关接到申请后，对符合登记条件的，应当自申请之日起20日办结宅基地登记审查手续。 特殊情况需要延期的，经县级以上土地登记机关负责人批准后，可以延长10日。 依法继承房屋和依据法院生效文书取得房屋所有权的，可以办理宅基地使用权登记。；不符合规定的，作出不予批准的书面决定，并说明理由，同时告知申请人享有依法申请行政复议或者提起行政诉讼的权利。”</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4-1.《行政许可法》第四十四条“行政机关作出准予行政许可的决定，应当自作出决定之日起十日内向申请人颁发、送达行政许可证件，或者加贴标签、加盖检验、检测、检疫印章。”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5.《中华人民共和国土地管理法》（2019年8月26日修订）第六十二条 农村村民一户只能拥有一处宅基地，其宅基地的面积不得超过省、自治区、直辖市规定的标准。人均土地少、不能保障一户拥有一处宅基地的地区，县级人民政府在充分尊重农村村民意愿的基础上，可以采取措施，按照省、自治区、直辖市规定的标准保障农村村民实现户有所居。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农村村民出卖、出租、赠与住宅后，再申请宅基地的，不予批准。国家允许进城落户的农村村民依法自愿有偿退出宅基地，鼓励农村集体经济组织及其成员盘活利用闲置宅基地和闲置住宅。国务院农业农村主管部门负责全国农村宅基地改革和管理有关工作。”</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4-1.《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5.河北省相关法律法规规章等。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6.同1。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7.《行政许可法》第七十三条“行政机关工作人员办理行政许可、实施监督检查，索取或者收受他人财物或者谋取其他利益，构成犯罪的，依法追究刑事责任；尚不构成犯罪的，依法给予行政处分。”                                                                                                                                      </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w:t>
            </w:r>
          </w:p>
        </w:tc>
        <w:tc>
          <w:tcPr>
            <w:tcW w:w="1475"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适龄儿童、少年因身体状况需要延缓入学或者休学审批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1.《中华人民共和国农村土地承包法》（2018年12月29日修正）</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生鲜乳收购许可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1.《乳品质量安全监督管理条例》（2008年10月9日国务院令第536号）</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pacing w:val="8"/>
                <w:sz w:val="15"/>
                <w:szCs w:val="15"/>
                <w:shd w:val="clear" w:color="auto" w:fill="FFFFFF"/>
              </w:rPr>
              <w:t xml:space="preserve">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7</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水域滩涂养殖证核发</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个体工商户注册登记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1.《个体商户条例》（2016年2月6日修订</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z w:val="15"/>
                <w:szCs w:val="15"/>
                <w:shd w:val="clear" w:color="auto" w:fill="FFFFFF"/>
              </w:rPr>
              <w:t>工商行政管理部门以及其他有关部门的工作人员，滥用职权、徇私舞弊、收受贿赂或者侵害个体工商户合法权益的，依法给予处分；构成犯罪的，依法追究刑事责任。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color w:val="000000"/>
                <w:spacing w:val="8"/>
                <w:sz w:val="15"/>
                <w:szCs w:val="15"/>
                <w:shd w:val="clear" w:color="auto" w:fill="FFFFFF"/>
              </w:rPr>
              <w:t xml:space="preserve">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9</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食品经营许可</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对发生在本行政区域内的食品安全事故，未及时组织协调有关部门开展有效处置，造成不良影响或者损失；（二）对本行政区域内涉及多环节的区域性食品安全问题，未及时组织整治，造成不良影响或者损失；（三）隐瞒、谎报、缓报食品安全事故；（四）本行政区域内发生特别重大食品安全事故，或者连续发生重大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一）未确定有关部门的食品安全监督管理职责，未建立健全食品安全全程监督管理工作机制和信息共享机制，未落实食品安全监督管理责任制；（二）未制定本行政区域的食品安全事故应急预案，或者发生食品安全事故后未按规定立即成立事故处置指挥机构、启动应急预案。</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一）隐瞒、谎报、缓报食品安全事故；（二）未按规定查处食品安全事故，或者接到食品安全事故报告未及时处理，造成事故扩大或者蔓延；（三）经食品安全风险评估得出食品、食品添加剂、食品相关产品不安全结论后，未及时采取相应措施，造成食品安全事故或者不良社会影响；（四）对不符合条件的申请人准予许可，或者超越法定职权准予许可；（五）不履行食品安全监督管理职责，导致发生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一）在获知有关食品安全信息后，未按规定向上级主管部门和本级人民政府报告，或者未按规定相互通报；（二）未按规定公布食品安全信息；（三）不履行法定职责，对查处食品安全违法行为不配合，或者滥用职权、玩忽职守、徇私舞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在村庄、集镇规划区内公共场所修建临时建筑等设施审批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《村庄和集镇规划建设管理条例》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18</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食品小餐饮登记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2.《河北省小餐饮登记管理办法》第八条办理小餐饮登记证申请，应提交以下材料，并对材料的真实性负责。</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（一）《小餐饮登记证申请书》；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（二）开办者的身份证（明）原件及复印件；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（三）经营场所平面图，设备布局、卫生设施等示意图；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（四）食品安全自查、从业人员健康管理、进货查验记录等制度；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（五）法律法规规定应当提交的其他证明材料。</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3.《河北省小餐饮登记管理办法》第六条小餐饮登记应符合下列条件：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 经营场所远离污染源。距离粪坑、污水池、暴露垃圾场(站)、动物养殖场、旱厕等污染源25m以上；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 操作间和就餐场所均应设在室内，操作间与就餐场所宜使用玻璃等透明材料区分或隔断，将加工过程公开给消费者，卫生间不得设置在操作间内；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 厨房各功能区布局合理，粗加工、烹饪、餐用具清洗消毒、食品原辅材料贮存区域等场所分区应明确，防止食品在存放、操作中产生交叉污染；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 供应少量蔬菜类凉拌菜的（如拍黄瓜、凉拌海带丝等）应设置相应的专用区域，专用的案板和刀用具。供应冷荤、卤味等其他凉拌菜的应设置相应的操作专间；</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 地面使用不透水、易清洗、防滑的材料，墙壁、顶面采用防霉、防水材料。有通风排烟设施，窗户应有防蝇纱网；</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（六）有大小和数量能满足需要的食品冷冻冷藏设备设施；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（七）餐用具清洗、消毒和保洁设施的数量或容量应能满足需要；有密闭的清洁餐饮具贮存保洁设施。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提倡配备若干存放未清洗餐饮具的周转箱（桶）；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（八）食品原材料专用清洗设施的数量或容量应与加工食品的品种、数量相适应；</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（九）有一定数量的食品存放架，食品和食品容器上架存放；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（十）有纱窗（门）、灭蝇灯和防鼠板等防虫防鼠设施；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（十一）有充足的采光照明设施，就餐场所和食品加工处理区光线充足；</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（十二）烹调区有机械排烟、排气装置；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（十三）食品处理区、就餐场所、专间内设足够数量的餐厨废弃物暂存容器。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提倡就餐场所每张餐桌下面设一个垃圾篓，并提示消费者垃圾入篓；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（十四）设置专用于拖把等清洁工具、用具的清洗设施；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（十五）操作间面积原则上不小于6㎡。</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9"/>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9" w:hRule="atLeast"/>
        </w:trPr>
        <w:tc>
          <w:tcPr>
            <w:tcW w:w="826"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12</w:t>
            </w:r>
          </w:p>
        </w:tc>
        <w:tc>
          <w:tcPr>
            <w:tcW w:w="1439"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食品生产加工小作坊登记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2.《食品加工小作坊登记》第九条  食品小作坊应当符合《河北省食品小作坊小餐饮小摊点管理条例》第十八条规定的条件，并向所在地县级食品药品监督管理部门申请登记，获得河北省食品小作坊登记证(含临时登记证)后，方可从事登记范围内食品生产加工活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第十条  食品小作坊提出登记申请，应按照《河北省食品小作坊小餐饮小摊点管理条例》第十九条规定提供材料，并对材料的真实性、合法性、有效性负责。                                                                                                                                    3.《食品加工小作坊登记》第十一条　县级食品药品监督管理部门对食品小作坊登记申请，应当根据下列情况分别作出处理：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（一）申请事项依法不需要登记的，应当即时告知申请人不受理。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（二）申请事项依法不属于食品药品监督管理部门职权范围的，应当即时作出不予受理的决定，并告知申请人向有关行政机关申请。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（三）申请材料存在可以当场更正的错误的，应当允许申请人当场更正，由申请人在更正处签名或者盖章，注明更正日期。</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四）申请材料不齐全或者不符合法定形式的，应当当场或者在五个工作日内一次告知申请人需要补正的全部内容。当场告知的，应当将申请材料退回申请人；在五个工作日内告知的，应当收取申请材料并出具收到申请材料的凭据。逾期不告知的，自收到申请材料之日起即为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（五）申请材料齐全、符合法定形式，或者申请人按照要求提交全部补正材料的，应当受理食品小作坊登记申请。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4-2.《行政许可法》第四十条“行政机关作出的准予行政许可决定，应当予以公开，公众有权查阅。”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13</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林木采伐许可证核发</w:t>
            </w:r>
          </w:p>
        </w:tc>
        <w:tc>
          <w:tcPr>
            <w:tcW w:w="5250" w:type="dxa"/>
            <w:vAlign w:val="center"/>
          </w:tcPr>
          <w:p>
            <w:pPr>
              <w:widowControl/>
              <w:spacing w:line="240" w:lineRule="exact"/>
              <w:rPr>
                <w:rFonts w:asciiTheme="minorEastAsia" w:hAnsiTheme="minorEastAsia" w:eastAsiaTheme="minorEastAsia" w:cstheme="minorEastAsia"/>
                <w:sz w:val="15"/>
                <w:szCs w:val="15"/>
              </w:rPr>
            </w:pP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4、《中华人民共和国森林法》（2019年12月28日修订）</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14</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农药经营许可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农药管理条例》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15</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公共场所卫生许可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公共场所卫生管理条例》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16</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乡村医生执业注册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《乡村医生从业管理条例》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17</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拖拉机和联合收割机登记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jc w:val="left"/>
              <w:textAlignment w:val="center"/>
              <w:rPr>
                <w:rFonts w:ascii="仿宋_GB2312" w:hAnsi="宋体" w:cs="仿宋_GB2312"/>
                <w:color w:val="000000"/>
                <w:kern w:val="0"/>
                <w:sz w:val="15"/>
                <w:szCs w:val="15"/>
                <w:lang w:bidi="ar"/>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《中华人民共和国道路交通安全法》</w:t>
            </w:r>
          </w:p>
          <w:p>
            <w:pPr>
              <w:widowControl/>
              <w:spacing w:line="240" w:lineRule="exact"/>
              <w:rPr>
                <w:rFonts w:asciiTheme="minorEastAsia" w:hAnsiTheme="minorEastAsia" w:eastAsiaTheme="minorEastAsia" w:cstheme="minorEastAsia"/>
                <w:sz w:val="15"/>
                <w:szCs w:val="15"/>
              </w:rPr>
            </w:pP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《农业机械安全监督管理条例》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18</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护士执业注册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《护士条例》</w:t>
            </w:r>
            <w:r>
              <w:rPr>
                <w:rFonts w:ascii="仿宋_GB2312" w:hAnsi="宋体" w:cs="仿宋_GB2312"/>
                <w:color w:val="000000"/>
                <w:kern w:val="0"/>
                <w:sz w:val="15"/>
                <w:szCs w:val="15"/>
                <w:lang w:bidi="ar"/>
              </w:rPr>
              <w:br w:type="textWrapping"/>
            </w: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《国家职业资格目录（2021年版）》</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19</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工商企业等社会资本通过流转取得土地经营权审批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rPr>
                <w:rFonts w:ascii="微软雅黑" w:hAnsi="微软雅黑" w:eastAsia="微软雅黑" w:cs="微软雅黑"/>
                <w:color w:val="333333"/>
                <w:sz w:val="15"/>
                <w:szCs w:val="15"/>
                <w:shd w:val="clear" w:color="auto" w:fill="FFFFFF"/>
              </w:rPr>
            </w:pPr>
            <w:r>
              <w:rPr>
                <w:rFonts w:hint="eastAsia" w:ascii="微软雅黑" w:hAnsi="微软雅黑" w:eastAsia="微软雅黑" w:cs="微软雅黑"/>
                <w:color w:val="333333"/>
                <w:sz w:val="15"/>
                <w:szCs w:val="15"/>
                <w:shd w:val="clear" w:color="auto" w:fill="FFFFFF"/>
              </w:rPr>
              <w:t>4、</w:t>
            </w:r>
            <w:r>
              <w:rPr>
                <w:rFonts w:ascii="微软雅黑" w:hAnsi="微软雅黑" w:eastAsia="微软雅黑" w:cs="微软雅黑"/>
                <w:color w:val="333333"/>
                <w:sz w:val="15"/>
                <w:szCs w:val="15"/>
                <w:shd w:val="clear" w:color="auto" w:fill="FFFFFF"/>
              </w:rPr>
              <w:t>《中华人民共和国农村土地承包法》第四十五条</w:t>
            </w:r>
          </w:p>
          <w:p>
            <w:pPr>
              <w:widowControl/>
              <w:spacing w:line="240" w:lineRule="exact"/>
              <w:rPr>
                <w:rFonts w:asciiTheme="minorEastAsia" w:hAnsiTheme="minorEastAsia" w:eastAsiaTheme="minorEastAsia" w:cstheme="minorEastAsia"/>
                <w:sz w:val="15"/>
                <w:szCs w:val="15"/>
              </w:rPr>
            </w:pPr>
            <w:r>
              <w:rPr>
                <w:rFonts w:ascii="微软雅黑" w:hAnsi="微软雅黑" w:eastAsia="微软雅黑" w:cs="微软雅黑"/>
                <w:color w:val="333333"/>
                <w:sz w:val="15"/>
                <w:szCs w:val="15"/>
                <w:shd w:val="clear" w:color="auto" w:fill="FFFFFF"/>
              </w:rPr>
              <w:t>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sectPr>
      <w:pgSz w:w="16838" w:h="11906" w:orient="landscape"/>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3CBE0"/>
    <w:multiLevelType w:val="singleLevel"/>
    <w:tmpl w:val="1243CB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MTkwYmE2ZWVkODdjOGEyYmE4YzBlZTcwMGYwYWMifQ=="/>
  </w:docVars>
  <w:rsids>
    <w:rsidRoot w:val="008652D5"/>
    <w:rsid w:val="00017761"/>
    <w:rsid w:val="000327B6"/>
    <w:rsid w:val="001820D0"/>
    <w:rsid w:val="00290D8D"/>
    <w:rsid w:val="003E43E4"/>
    <w:rsid w:val="003E7878"/>
    <w:rsid w:val="003F1458"/>
    <w:rsid w:val="004A2B56"/>
    <w:rsid w:val="0062057E"/>
    <w:rsid w:val="008652D5"/>
    <w:rsid w:val="00AB5047"/>
    <w:rsid w:val="00C731E9"/>
    <w:rsid w:val="00DE3DD1"/>
    <w:rsid w:val="00FC29F7"/>
    <w:rsid w:val="09F9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21"/>
    <w:qFormat/>
    <w:uiPriority w:val="0"/>
    <w:rPr>
      <w:rFonts w:hint="default" w:ascii="仿宋_GB2312" w:eastAsia="仿宋_GB2312" w:cs="仿宋_GB2312"/>
      <w:color w:val="000000"/>
      <w:sz w:val="18"/>
      <w:szCs w:val="18"/>
      <w:u w:val="none"/>
    </w:rPr>
  </w:style>
  <w:style w:type="character" w:customStyle="1" w:styleId="5">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83B6-043F-43BB-A556-A0B18FEB81E7}">
  <ds:schemaRefs/>
</ds:datastoreItem>
</file>

<file path=docProps/app.xml><?xml version="1.0" encoding="utf-8"?>
<Properties xmlns="http://schemas.openxmlformats.org/officeDocument/2006/extended-properties" xmlns:vt="http://schemas.openxmlformats.org/officeDocument/2006/docPropsVTypes">
  <Template>Normal</Template>
  <Pages>21</Pages>
  <Words>23503</Words>
  <Characters>23688</Characters>
  <Lines>183</Lines>
  <Paragraphs>51</Paragraphs>
  <TotalTime>0</TotalTime>
  <ScaleCrop>false</ScaleCrop>
  <LinksUpToDate>false</LinksUpToDate>
  <CharactersWithSpaces>25507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2024-06-19T03:14:00Z</dcterms:created>
  <dc:creator>waxzck@outlook.com</dc:creator>
  <cp:lastModifiedBy>万物生</cp:lastModifiedBy>
  <dcterms:modified xsi:type="dcterms:W3CDTF">2024-06-20T07:25:41Z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0E8AE7E38DDA4999AE78D42C0A784AA2_12</vt:lpwstr>
  </property>
</Properties>
</file>