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color w:val="000000"/>
          <w:sz w:val="96"/>
          <w:szCs w:val="96"/>
        </w:rPr>
      </w:pPr>
      <w:r>
        <w:rPr>
          <w:sz w:val="84"/>
          <w:szCs w:val="84"/>
        </w:rPr>
        <w:t>2018</w:t>
      </w:r>
      <w:r>
        <w:rPr>
          <w:rFonts w:hint="eastAsia"/>
          <w:sz w:val="84"/>
          <w:szCs w:val="84"/>
        </w:rPr>
        <w:t>年度部门决算公开</w:t>
      </w:r>
    </w:p>
    <w:p>
      <w:pPr>
        <w:widowControl/>
        <w:jc w:val="center"/>
        <w:rPr>
          <w:rFonts w:ascii="黑体" w:hAnsi="宋体" w:eastAsia="黑体"/>
          <w:color w:val="002060"/>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866" w:firstLineChars="196"/>
        <w:rPr>
          <w:b/>
          <w:sz w:val="44"/>
          <w:szCs w:val="44"/>
        </w:rPr>
        <w:sectPr>
          <w:pgSz w:w="11906" w:h="16838"/>
          <w:pgMar w:top="2098" w:right="1474" w:bottom="1985" w:left="1588" w:header="851" w:footer="992" w:gutter="0"/>
          <w:cols w:space="425" w:num="1"/>
          <w:docGrid w:type="lines" w:linePitch="312" w:charSpace="0"/>
        </w:sectPr>
      </w:pPr>
      <w:r>
        <w:rPr>
          <w:rFonts w:hint="eastAsia"/>
          <w:b/>
          <w:sz w:val="44"/>
          <w:szCs w:val="44"/>
        </w:rPr>
        <w:t>廊坊市文安县住房保障和房产管理局</w:t>
      </w:r>
    </w:p>
    <w:p>
      <w:pPr>
        <w:rPr>
          <w:color w:val="000000"/>
          <w:sz w:val="96"/>
          <w:szCs w:val="96"/>
        </w:rPr>
      </w:pPr>
      <w:r>
        <w:rPr>
          <w:rFonts w:hint="eastAsia" w:ascii="黑体" w:hAnsi="宋体" w:eastAsia="黑体"/>
          <w:color w:val="000000"/>
          <w:sz w:val="96"/>
          <w:szCs w:val="96"/>
        </w:rPr>
        <w:t>第一部分</w:t>
      </w:r>
      <w:r>
        <w:rPr>
          <w:rFonts w:ascii="黑体" w:hAnsi="宋体" w:eastAsia="黑体"/>
          <w:color w:val="000000"/>
          <w:sz w:val="96"/>
          <w:szCs w:val="96"/>
        </w:rPr>
        <w:t xml:space="preserve">  </w:t>
      </w:r>
      <w:r>
        <w:rPr>
          <w:rFonts w:hint="eastAsia" w:ascii="黑体" w:hAnsi="宋体" w:eastAsia="黑体"/>
          <w:color w:val="000000"/>
          <w:sz w:val="96"/>
          <w:szCs w:val="96"/>
        </w:rPr>
        <w:t>部门概况</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一、部门职责</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（一）宣传贯彻《中华人民共和国城市房地产管理法》，参照该法制制定适合我县实际情况的房产管理规章、管理办法等。</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（二）负责全县房产业的行政管理，指导各建制镇房产业工作。</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（三）制定全县住宅建设计划、商品开发计划、经济适用住房建设计划，编制住宅建设、商品房开发经济适用住房建设的中、长期发展规划，并组织实施。</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（四）负责对全县房产开发企业、物业管理企业资质的审查和商品房出售等经营行为的监督管理。</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（五）管理全县房产交易市场，制定我县房产交易市场管理办法、规章等，规范房产交易行为，办理县区范围内的房产交易事宜。</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（六）负责全县房屋产权产籍的监理工作，制定我县产权产籍的监理办法；办理县区范围内的房屋确权发证工作。</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（七）统一管理县区住宅的开发建设，确保住宅建设质量。</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（八）负责管理住宅小区的各项管理工作。</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（九）负责全县住房制度改革工作，制订房改政策，检查指导各建制镇房改工作。</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（十）负责调解和配合有关部门仲裁房产纠纷，制止和纠正住房中的违法行为；负责危房鉴定工作。</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（十一）承办县政府交办的其他事项。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pStyle w:val="11"/>
              <w:spacing w:before="0" w:beforeAutospacing="0" w:after="0" w:afterAutospacing="0" w:line="405" w:lineRule="atLeast"/>
              <w:jc w:val="center"/>
              <w:rPr>
                <w:rFonts w:hint="eastAsia" w:ascii="仿宋_GB2312" w:hAnsi="Arial" w:eastAsia="宋体" w:cs="Arial"/>
                <w:color w:val="333333"/>
                <w:shd w:val="clear" w:color="auto" w:fill="FFFFFF"/>
                <w:lang w:eastAsia="zh-CN"/>
              </w:rPr>
            </w:pPr>
            <w:r>
              <w:rPr>
                <w:rFonts w:hint="eastAsia" w:ascii="仿宋_GB2312" w:hAnsi="Arial" w:eastAsia="仿宋_GB2312" w:cs="Arial"/>
                <w:color w:val="333333"/>
                <w:shd w:val="clear" w:color="auto" w:fill="FFFFFF"/>
              </w:rPr>
              <w:t>文安</w:t>
            </w:r>
            <w:r>
              <w:rPr>
                <w:rFonts w:hint="eastAsia"/>
                <w:color w:val="333333"/>
                <w:shd w:val="clear" w:color="auto" w:fill="FFFFFF"/>
              </w:rPr>
              <w:t>县</w:t>
            </w:r>
            <w:r>
              <w:rPr>
                <w:rFonts w:hint="eastAsia" w:ascii="___WRD_EMBED_SUB_39" w:hAnsi="___WRD_EMBED_SUB_39" w:eastAsia="___WRD_EMBED_SUB_39" w:cs="___WRD_EMBED_SUB_39"/>
                <w:color w:val="333333"/>
                <w:shd w:val="clear" w:color="auto" w:fill="FFFFFF"/>
              </w:rPr>
              <w:t>住房保障和房产管理</w:t>
            </w:r>
            <w:r>
              <w:rPr>
                <w:rFonts w:hint="eastAsia"/>
                <w:color w:val="333333"/>
                <w:shd w:val="clear" w:color="auto" w:fill="FFFFFF"/>
              </w:rPr>
              <w:t>局</w:t>
            </w:r>
            <w:r>
              <w:rPr>
                <w:rFonts w:hint="eastAsia"/>
                <w:color w:val="333333"/>
                <w:shd w:val="clear" w:color="auto" w:fill="FFFFFF"/>
                <w:lang w:eastAsia="zh-CN"/>
              </w:rPr>
              <w:t>（本级）</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事业</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Arial" w:eastAsia="仿宋_GB2312" w:cs="Arial"/>
                <w:color w:val="333333"/>
                <w:sz w:val="22"/>
                <w:shd w:val="clear" w:color="auto" w:fill="FFFFFF"/>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jc w:val="left"/>
              <w:rPr>
                <w:rFonts w:ascii="仿宋_GB2312" w:hAnsi="Cambria" w:eastAsia="仿宋_GB2312" w:cs="ArialUnicodeMS"/>
                <w:kern w:val="0"/>
                <w:sz w:val="28"/>
                <w:szCs w:val="28"/>
              </w:rPr>
            </w:pPr>
          </w:p>
        </w:tc>
      </w:tr>
    </w:tbl>
    <w:p>
      <w:pPr>
        <w:widowControl/>
        <w:spacing w:line="560" w:lineRule="exact"/>
        <w:rPr>
          <w:rFonts w:ascii="黑体" w:hAnsi="Cambria" w:eastAsia="黑体" w:cs="MS-UIGothic,Bold"/>
          <w:bCs/>
          <w:kern w:val="0"/>
          <w:sz w:val="52"/>
          <w:szCs w:val="52"/>
        </w:rPr>
      </w:pPr>
    </w:p>
    <w:p>
      <w:pPr>
        <w:widowControl/>
        <w:spacing w:line="1200" w:lineRule="exact"/>
        <w:ind w:firstLine="2880" w:firstLineChars="400"/>
        <w:rPr>
          <w:rFonts w:hint="eastAsia" w:ascii="黑体" w:hAnsi="宋体" w:eastAsia="黑体"/>
          <w:color w:val="000000"/>
          <w:sz w:val="72"/>
          <w:szCs w:val="96"/>
        </w:rPr>
      </w:pPr>
    </w:p>
    <w:p>
      <w:pPr>
        <w:widowControl/>
        <w:spacing w:line="1200" w:lineRule="exact"/>
        <w:ind w:firstLine="2880" w:firstLineChars="400"/>
        <w:rPr>
          <w:rFonts w:hint="eastAsia" w:ascii="黑体" w:hAnsi="宋体" w:eastAsia="黑体"/>
          <w:color w:val="000000"/>
          <w:sz w:val="72"/>
          <w:szCs w:val="96"/>
        </w:rPr>
      </w:pPr>
    </w:p>
    <w:p>
      <w:pPr>
        <w:widowControl/>
        <w:spacing w:line="1200" w:lineRule="exact"/>
        <w:ind w:firstLine="2880" w:firstLineChars="400"/>
        <w:rPr>
          <w:rFonts w:hint="eastAsia" w:ascii="黑体" w:hAnsi="宋体" w:eastAsia="黑体"/>
          <w:color w:val="000000"/>
          <w:sz w:val="72"/>
          <w:szCs w:val="96"/>
        </w:rPr>
      </w:pPr>
    </w:p>
    <w:p>
      <w:pPr>
        <w:widowControl/>
        <w:spacing w:line="1200" w:lineRule="exact"/>
        <w:ind w:firstLine="2880" w:firstLineChars="400"/>
        <w:rPr>
          <w:rFonts w:hint="eastAsia" w:ascii="黑体" w:hAnsi="宋体" w:eastAsia="黑体"/>
          <w:color w:val="000000"/>
          <w:sz w:val="72"/>
          <w:szCs w:val="96"/>
        </w:rPr>
      </w:pPr>
    </w:p>
    <w:p>
      <w:pPr>
        <w:widowControl/>
        <w:spacing w:line="1200" w:lineRule="exact"/>
        <w:ind w:firstLine="2880" w:firstLineChars="400"/>
        <w:rPr>
          <w:rFonts w:ascii="黑体" w:hAnsi="宋体" w:eastAsia="黑体"/>
          <w:color w:val="000000"/>
          <w:sz w:val="72"/>
          <w:szCs w:val="96"/>
        </w:rPr>
      </w:pPr>
      <w:r>
        <w:rPr>
          <w:rFonts w:hint="eastAsia" w:ascii="黑体" w:hAnsi="宋体" w:eastAsia="黑体"/>
          <w:color w:val="000000"/>
          <w:sz w:val="72"/>
          <w:szCs w:val="96"/>
        </w:rPr>
        <w:t>第二部分</w:t>
      </w:r>
    </w:p>
    <w:p>
      <w:pPr>
        <w:widowControl/>
        <w:spacing w:line="1200" w:lineRule="exact"/>
        <w:jc w:val="center"/>
        <w:rPr>
          <w:rFonts w:ascii="黑体" w:hAnsi="宋体" w:eastAsia="黑体"/>
          <w:color w:val="000000"/>
          <w:sz w:val="72"/>
          <w:szCs w:val="96"/>
        </w:rPr>
      </w:pPr>
      <w:r>
        <w:rPr>
          <w:rFonts w:ascii="黑体" w:hAnsi="宋体" w:eastAsia="黑体"/>
          <w:color w:val="000000"/>
          <w:sz w:val="72"/>
          <w:szCs w:val="96"/>
        </w:rPr>
        <w:t>2018</w:t>
      </w:r>
      <w:r>
        <w:rPr>
          <w:rFonts w:hint="eastAsia" w:ascii="黑体" w:hAnsi="宋体" w:eastAsia="黑体"/>
          <w:color w:val="000000"/>
          <w:sz w:val="72"/>
          <w:szCs w:val="96"/>
        </w:rPr>
        <w:t>年度部门决算报表</w:t>
      </w:r>
    </w:p>
    <w:p>
      <w:pPr>
        <w:widowControl/>
        <w:spacing w:line="1200" w:lineRule="exact"/>
        <w:ind w:firstLine="2160" w:firstLineChars="300"/>
        <w:rPr>
          <w:rFonts w:ascii="黑体" w:hAnsi="宋体" w:eastAsia="黑体"/>
          <w:color w:val="000000"/>
          <w:sz w:val="72"/>
          <w:szCs w:val="96"/>
        </w:rPr>
        <w:sectPr>
          <w:pgSz w:w="11906" w:h="16838"/>
          <w:pgMar w:top="2098" w:right="1474" w:bottom="1984" w:left="1588" w:header="851" w:footer="992" w:gutter="0"/>
          <w:cols w:space="0" w:num="1"/>
          <w:docGrid w:type="lines" w:linePitch="312" w:charSpace="0"/>
        </w:sectPr>
      </w:pPr>
      <w:r>
        <w:rPr>
          <w:rFonts w:hint="eastAsia" w:ascii="黑体" w:hAnsi="宋体" w:eastAsia="黑体"/>
          <w:color w:val="000000"/>
          <w:sz w:val="72"/>
          <w:szCs w:val="96"/>
        </w:rPr>
        <w:t>（详见附表）</w:t>
      </w:r>
    </w:p>
    <w:p>
      <w:pPr>
        <w:widowControl/>
        <w:spacing w:line="1200" w:lineRule="exact"/>
        <w:ind w:firstLine="2400" w:firstLineChars="250"/>
        <w:rPr>
          <w:rFonts w:ascii="黑体" w:hAnsi="宋体" w:eastAsia="黑体"/>
          <w:color w:val="000000"/>
          <w:sz w:val="96"/>
          <w:szCs w:val="96"/>
        </w:rPr>
      </w:pPr>
      <w:r>
        <w:rPr>
          <w:rFonts w:hint="eastAsia" w:ascii="黑体" w:hAnsi="宋体" w:eastAsia="黑体"/>
          <w:color w:val="000000"/>
          <w:sz w:val="96"/>
          <w:szCs w:val="96"/>
        </w:rPr>
        <w:t>第三部分</w:t>
      </w:r>
    </w:p>
    <w:p>
      <w:pPr>
        <w:widowControl/>
        <w:spacing w:line="1200" w:lineRule="exact"/>
        <w:jc w:val="center"/>
        <w:rPr>
          <w:color w:val="000000"/>
          <w:sz w:val="96"/>
          <w:szCs w:val="96"/>
        </w:rPr>
      </w:pPr>
      <w:r>
        <w:rPr>
          <w:rFonts w:hint="eastAsia" w:ascii="黑体" w:hAnsi="宋体" w:eastAsia="黑体"/>
          <w:color w:val="000000"/>
          <w:sz w:val="96"/>
          <w:szCs w:val="96"/>
        </w:rPr>
        <w:t>部门决算情况说明</w:t>
      </w:r>
    </w:p>
    <w:p>
      <w:pPr>
        <w:pStyle w:val="3"/>
        <w:spacing w:before="0" w:after="0" w:line="580" w:lineRule="exact"/>
        <w:ind w:firstLine="640" w:firstLineChars="200"/>
        <w:rPr>
          <w:rFonts w:hint="eastAsia" w:ascii="黑体" w:eastAsia="黑体" w:hAnsiTheme="majorHAnsi" w:cstheme="majorBidi"/>
          <w:b w:val="0"/>
          <w:bCs w:val="0"/>
        </w:rPr>
      </w:pPr>
      <w:r>
        <w:rPr>
          <w:rFonts w:hint="eastAsia" w:ascii="黑体" w:eastAsia="黑体" w:hAnsiTheme="majorHAnsi" w:cstheme="majorBidi"/>
          <w:b w:val="0"/>
          <w:bCs w:val="0"/>
        </w:rPr>
        <w:t>一、收入支出决算总体情况说明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w:t>
      </w:r>
      <w:r>
        <w:rPr>
          <w:rFonts w:hint="eastAsia" w:ascii="仿宋_GB2312" w:eastAsia="仿宋_GB2312" w:cs="DengXian-Regular"/>
          <w:sz w:val="32"/>
          <w:szCs w:val="32"/>
        </w:rPr>
        <w:t>年度收支总计（含结转和结余）1950.44</w:t>
      </w:r>
      <w:r>
        <w:rPr>
          <w:rFonts w:hint="eastAsia" w:ascii="仿宋_GB2312" w:eastAsia="仿宋_GB2312" w:cs="DengXian-Regular"/>
          <w:sz w:val="32"/>
          <w:szCs w:val="32"/>
        </w:rPr>
        <w:t>万元。与2017</w:t>
      </w:r>
      <w:r>
        <w:rPr>
          <w:rFonts w:hint="eastAsia" w:ascii="仿宋_GB2312" w:eastAsia="仿宋_GB2312" w:cs="DengXian-Regular"/>
          <w:sz w:val="32"/>
          <w:szCs w:val="32"/>
        </w:rPr>
        <w:t>年度决算相比，收支各减少6501.86</w:t>
      </w:r>
      <w:r>
        <w:rPr>
          <w:rFonts w:hint="eastAsia" w:ascii="仿宋_GB2312" w:eastAsia="仿宋_GB2312" w:cs="DengXian-Regular"/>
          <w:sz w:val="32"/>
          <w:szCs w:val="32"/>
        </w:rPr>
        <w:t>万元，下降333%</w:t>
      </w:r>
      <w:r>
        <w:rPr>
          <w:rFonts w:hint="eastAsia" w:ascii="仿宋_GB2312" w:eastAsia="仿宋_GB2312" w:cs="DengXian-Regular"/>
          <w:sz w:val="32"/>
          <w:szCs w:val="32"/>
        </w:rPr>
        <w:t>，主要是项目的减少。</w:t>
      </w:r>
    </w:p>
    <w:p>
      <w:pPr>
        <w:pStyle w:val="3"/>
        <w:spacing w:before="0" w:after="0" w:line="580" w:lineRule="exact"/>
        <w:ind w:firstLine="640" w:firstLineChars="200"/>
        <w:rPr>
          <w:rFonts w:hint="eastAsia" w:ascii="黑体" w:eastAsia="黑体" w:hAnsiTheme="majorHAnsi" w:cstheme="majorBidi"/>
          <w:b w:val="0"/>
          <w:bCs w:val="0"/>
        </w:rPr>
      </w:pPr>
      <w:r>
        <w:rPr>
          <w:rFonts w:hint="eastAsia" w:ascii="黑体" w:eastAsia="黑体" w:hAnsiTheme="majorHAnsi" w:cstheme="majorBidi"/>
          <w:b w:val="0"/>
          <w:bCs w:val="0"/>
        </w:rPr>
        <w:t>二、收入决算情况说明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w:t>
      </w:r>
      <w:r>
        <w:rPr>
          <w:rFonts w:hint="eastAsia" w:ascii="仿宋_GB2312" w:eastAsia="仿宋_GB2312" w:cs="DengXian-Regular"/>
          <w:sz w:val="32"/>
          <w:szCs w:val="32"/>
        </w:rPr>
        <w:t>年度本年收入合计1561.22</w:t>
      </w:r>
      <w:r>
        <w:rPr>
          <w:rFonts w:hint="eastAsia" w:ascii="仿宋_GB2312" w:eastAsia="仿宋_GB2312" w:cs="DengXian-Regular"/>
          <w:sz w:val="32"/>
          <w:szCs w:val="32"/>
        </w:rPr>
        <w:t>万元，其中：财政拨款收入1561.22</w:t>
      </w:r>
      <w:r>
        <w:rPr>
          <w:rFonts w:hint="eastAsia" w:ascii="仿宋_GB2312" w:eastAsia="仿宋_GB2312" w:cs="DengXian-Regular"/>
          <w:sz w:val="32"/>
          <w:szCs w:val="32"/>
        </w:rPr>
        <w:t>万元，占100%</w:t>
      </w:r>
      <w:r>
        <w:rPr>
          <w:rFonts w:hint="eastAsia" w:ascii="仿宋_GB2312" w:eastAsia="仿宋_GB2312" w:cs="DengXian-Regular"/>
          <w:sz w:val="32"/>
          <w:szCs w:val="32"/>
        </w:rPr>
        <w:t>；事业收入0</w:t>
      </w:r>
      <w:r>
        <w:rPr>
          <w:rFonts w:hint="eastAsia" w:ascii="仿宋_GB2312" w:eastAsia="仿宋_GB2312" w:cs="DengXian-Regular"/>
          <w:sz w:val="32"/>
          <w:szCs w:val="32"/>
        </w:rPr>
        <w:t>万元，占0%</w:t>
      </w:r>
      <w:r>
        <w:rPr>
          <w:rFonts w:hint="eastAsia" w:ascii="仿宋_GB2312" w:eastAsia="仿宋_GB2312" w:cs="DengXian-Regular"/>
          <w:sz w:val="32"/>
          <w:szCs w:val="32"/>
        </w:rPr>
        <w:t>；经营收入0</w:t>
      </w:r>
      <w:r>
        <w:rPr>
          <w:rFonts w:hint="eastAsia" w:ascii="仿宋_GB2312" w:eastAsia="仿宋_GB2312" w:cs="DengXian-Regular"/>
          <w:sz w:val="32"/>
          <w:szCs w:val="32"/>
        </w:rPr>
        <w:t>万元，占0%</w:t>
      </w:r>
      <w:r>
        <w:rPr>
          <w:rFonts w:hint="eastAsia" w:ascii="仿宋_GB2312" w:eastAsia="仿宋_GB2312" w:cs="DengXian-Regular"/>
          <w:sz w:val="32"/>
          <w:szCs w:val="32"/>
        </w:rPr>
        <w:t>；其他收入0</w:t>
      </w:r>
      <w:r>
        <w:rPr>
          <w:rFonts w:hint="eastAsia" w:ascii="仿宋_GB2312" w:eastAsia="仿宋_GB2312" w:cs="DengXian-Regular"/>
          <w:sz w:val="32"/>
          <w:szCs w:val="32"/>
        </w:rPr>
        <w:t>万元，占0%</w:t>
      </w:r>
      <w:r>
        <w:rPr>
          <w:rFonts w:hint="eastAsia" w:ascii="仿宋_GB2312" w:eastAsia="仿宋_GB2312" w:cs="DengXian-Regular"/>
          <w:sz w:val="32"/>
          <w:szCs w:val="32"/>
        </w:rPr>
        <w:t>。</w:t>
      </w:r>
    </w:p>
    <w:p>
      <w:pPr>
        <w:pStyle w:val="3"/>
        <w:spacing w:before="0" w:after="0" w:line="580" w:lineRule="exact"/>
        <w:ind w:firstLine="640" w:firstLineChars="200"/>
        <w:rPr>
          <w:rFonts w:hint="eastAsia" w:ascii="黑体" w:eastAsia="黑体" w:hAnsiTheme="majorHAnsi" w:cstheme="majorBidi"/>
          <w:b w:val="0"/>
          <w:bCs w:val="0"/>
        </w:rPr>
      </w:pPr>
      <w:r>
        <w:rPr>
          <w:rFonts w:hint="eastAsia" w:ascii="黑体" w:eastAsia="黑体" w:hAnsiTheme="majorHAnsi" w:cstheme="majorBidi"/>
          <w:b w:val="0"/>
          <w:bCs w:val="0"/>
        </w:rPr>
        <w:t>三、支出决算情况说明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w:t>
      </w:r>
      <w:r>
        <w:rPr>
          <w:rFonts w:hint="eastAsia" w:ascii="仿宋_GB2312" w:eastAsia="仿宋_GB2312" w:cs="DengXian-Regular"/>
          <w:sz w:val="32"/>
          <w:szCs w:val="32"/>
        </w:rPr>
        <w:t>年度本年支出合计1676.54</w:t>
      </w:r>
      <w:r>
        <w:rPr>
          <w:rFonts w:hint="eastAsia" w:ascii="仿宋_GB2312" w:eastAsia="仿宋_GB2312" w:cs="DengXian-Regular"/>
          <w:sz w:val="32"/>
          <w:szCs w:val="32"/>
        </w:rPr>
        <w:t>万元，其中：基本支出1176.66</w:t>
      </w:r>
      <w:r>
        <w:rPr>
          <w:rFonts w:hint="eastAsia" w:ascii="仿宋_GB2312" w:eastAsia="仿宋_GB2312" w:cs="DengXian-Regular"/>
          <w:sz w:val="32"/>
          <w:szCs w:val="32"/>
        </w:rPr>
        <w:t>万元，占70%</w:t>
      </w:r>
      <w:r>
        <w:rPr>
          <w:rFonts w:hint="eastAsia" w:ascii="仿宋_GB2312" w:eastAsia="仿宋_GB2312" w:cs="DengXian-Regular"/>
          <w:sz w:val="32"/>
          <w:szCs w:val="32"/>
        </w:rPr>
        <w:t>；项目支出499.88</w:t>
      </w:r>
      <w:r>
        <w:rPr>
          <w:rFonts w:hint="eastAsia" w:ascii="仿宋_GB2312" w:eastAsia="仿宋_GB2312" w:cs="DengXian-Regular"/>
          <w:sz w:val="32"/>
          <w:szCs w:val="32"/>
        </w:rPr>
        <w:t>万元，占30%</w:t>
      </w:r>
      <w:r>
        <w:rPr>
          <w:rFonts w:hint="eastAsia" w:ascii="仿宋_GB2312" w:eastAsia="仿宋_GB2312" w:cs="DengXian-Regular"/>
          <w:sz w:val="32"/>
          <w:szCs w:val="32"/>
        </w:rPr>
        <w:t>；经营支出万元，占0%</w:t>
      </w:r>
      <w:r>
        <w:rPr>
          <w:rFonts w:hint="eastAsia" w:ascii="仿宋_GB2312" w:eastAsia="仿宋_GB2312" w:cs="DengXian-Regular"/>
          <w:sz w:val="32"/>
          <w:szCs w:val="32"/>
        </w:rPr>
        <w:t>。</w:t>
      </w:r>
    </w:p>
    <w:p>
      <w:pPr>
        <w:pStyle w:val="3"/>
        <w:spacing w:before="0" w:after="0" w:line="580" w:lineRule="exact"/>
        <w:ind w:firstLine="640" w:firstLineChars="200"/>
        <w:rPr>
          <w:rFonts w:hint="eastAsia" w:ascii="黑体" w:eastAsia="黑体" w:hAnsiTheme="majorHAnsi" w:cstheme="majorBidi"/>
          <w:b w:val="0"/>
          <w:bCs w:val="0"/>
        </w:rPr>
      </w:pPr>
      <w:r>
        <w:rPr>
          <w:rFonts w:hint="eastAsia" w:ascii="黑体" w:eastAsia="黑体" w:hAnsiTheme="majorHAnsi" w:cstheme="majorBidi"/>
          <w:b w:val="0"/>
          <w:bCs w:val="0"/>
        </w:rPr>
        <w:t>四、财政拨款收入支出决算情况说明</w:t>
      </w:r>
    </w:p>
    <w:p>
      <w:pPr>
        <w:pStyle w:val="3"/>
        <w:spacing w:before="0" w:after="0" w:line="580" w:lineRule="exact"/>
        <w:ind w:firstLine="640" w:firstLineChars="200"/>
        <w:rPr>
          <w:rFonts w:hint="eastAsia" w:ascii="黑体" w:eastAsia="黑体" w:hAnsiTheme="majorHAnsi" w:cstheme="majorBidi"/>
          <w:b w:val="0"/>
          <w:bCs w:val="0"/>
        </w:rPr>
      </w:pPr>
      <w:r>
        <w:rPr>
          <w:rFonts w:hint="eastAsia" w:ascii="黑体" w:eastAsia="黑体" w:hAnsiTheme="majorHAnsi" w:cstheme="majorBidi"/>
          <w:b w:val="0"/>
          <w:bCs w:val="0"/>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w:t>
      </w:r>
      <w:r>
        <w:rPr>
          <w:rFonts w:hint="eastAsia" w:ascii="仿宋_GB2312" w:eastAsia="仿宋_GB2312" w:cs="DengXian-Regular"/>
          <w:sz w:val="32"/>
          <w:szCs w:val="32"/>
        </w:rPr>
        <w:t>年度形成的财政拨款收支均为一般公共预算财政拨款，其中一般公共预算财政拨款本年收入1561.22</w:t>
      </w:r>
      <w:r>
        <w:rPr>
          <w:rFonts w:hint="eastAsia" w:ascii="仿宋_GB2312" w:eastAsia="仿宋_GB2312" w:cs="DengXian-Regular"/>
          <w:sz w:val="32"/>
          <w:szCs w:val="32"/>
        </w:rPr>
        <w:t>万元,</w:t>
      </w:r>
      <w:r>
        <w:rPr>
          <w:rFonts w:hint="eastAsia" w:ascii="仿宋_GB2312" w:eastAsia="仿宋_GB2312" w:cs="DengXian-Regular"/>
          <w:sz w:val="32"/>
          <w:szCs w:val="32"/>
        </w:rPr>
        <w:t>比2017</w:t>
      </w:r>
      <w:r>
        <w:rPr>
          <w:rFonts w:hint="eastAsia" w:ascii="仿宋_GB2312" w:eastAsia="仿宋_GB2312" w:cs="DengXian-Regular"/>
          <w:sz w:val="32"/>
          <w:szCs w:val="32"/>
        </w:rPr>
        <w:t>年度减少5079.16</w:t>
      </w:r>
      <w:r>
        <w:rPr>
          <w:rFonts w:hint="eastAsia" w:ascii="仿宋_GB2312" w:eastAsia="仿宋_GB2312" w:cs="DengXian-Regular"/>
          <w:sz w:val="32"/>
          <w:szCs w:val="32"/>
        </w:rPr>
        <w:t>万元，降低325%</w:t>
      </w:r>
      <w:r>
        <w:rPr>
          <w:rFonts w:hint="eastAsia" w:ascii="仿宋_GB2312" w:eastAsia="仿宋_GB2312" w:cs="DengXian-Regular"/>
          <w:sz w:val="32"/>
          <w:szCs w:val="32"/>
        </w:rPr>
        <w:t>，主要是项目收入减少；本年支出1676.54</w:t>
      </w:r>
      <w:r>
        <w:rPr>
          <w:rFonts w:hint="eastAsia" w:ascii="仿宋_GB2312" w:eastAsia="仿宋_GB2312" w:cs="DengXian-Regular"/>
          <w:sz w:val="32"/>
          <w:szCs w:val="32"/>
        </w:rPr>
        <w:t>万元，增加4.76</w:t>
      </w:r>
      <w:r>
        <w:rPr>
          <w:rFonts w:hint="eastAsia" w:ascii="仿宋_GB2312" w:eastAsia="仿宋_GB2312" w:cs="DengXian-Regular"/>
          <w:sz w:val="32"/>
          <w:szCs w:val="32"/>
        </w:rPr>
        <w:t>万元，增长0.28%</w:t>
      </w:r>
      <w:r>
        <w:rPr>
          <w:rFonts w:hint="eastAsia" w:ascii="仿宋_GB2312" w:eastAsia="仿宋_GB2312" w:cs="DengXian-Regular"/>
          <w:sz w:val="32"/>
          <w:szCs w:val="32"/>
        </w:rPr>
        <w:t>，主要是人员经费的增加。</w:t>
      </w:r>
    </w:p>
    <w:p>
      <w:pPr>
        <w:pStyle w:val="3"/>
        <w:spacing w:before="0" w:after="0" w:line="580" w:lineRule="exact"/>
        <w:ind w:firstLine="640" w:firstLineChars="200"/>
        <w:rPr>
          <w:rFonts w:hint="eastAsia" w:ascii="黑体" w:eastAsia="黑体" w:hAnsiTheme="majorHAnsi" w:cstheme="majorBidi"/>
          <w:b w:val="0"/>
          <w:bCs w:val="0"/>
        </w:rPr>
      </w:pPr>
      <w:r>
        <w:rPr>
          <w:rFonts w:hint="eastAsia" w:ascii="黑体" w:eastAsia="黑体" w:hAnsiTheme="majorHAnsi" w:cstheme="majorBidi"/>
          <w:b w:val="0"/>
          <w:bCs w:val="0"/>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w:t>
      </w:r>
      <w:r>
        <w:rPr>
          <w:rFonts w:hint="eastAsia" w:ascii="仿宋_GB2312" w:eastAsia="仿宋_GB2312" w:cs="DengXian-Regular"/>
          <w:sz w:val="32"/>
          <w:szCs w:val="32"/>
        </w:rPr>
        <w:t>年度一般公共预算财政拨款收入1561.22</w:t>
      </w:r>
      <w:r>
        <w:rPr>
          <w:rFonts w:hint="eastAsia" w:ascii="仿宋_GB2312" w:eastAsia="仿宋_GB2312" w:cs="DengXian-Regular"/>
          <w:sz w:val="32"/>
          <w:szCs w:val="32"/>
        </w:rPr>
        <w:t>万元，完成年初预算的285%,</w:t>
      </w:r>
      <w:r>
        <w:rPr>
          <w:rFonts w:hint="eastAsia" w:ascii="仿宋_GB2312" w:eastAsia="仿宋_GB2312" w:cs="DengXian-Regular"/>
          <w:sz w:val="32"/>
          <w:szCs w:val="32"/>
        </w:rPr>
        <w:t>比年初预算增加1013.99</w:t>
      </w:r>
      <w:r>
        <w:rPr>
          <w:rFonts w:hint="eastAsia" w:ascii="仿宋_GB2312" w:eastAsia="仿宋_GB2312" w:cs="DengXian-Regular"/>
          <w:sz w:val="32"/>
          <w:szCs w:val="32"/>
        </w:rPr>
        <w:t>万元，决算数大于预算数主要是项目收入的增加；本年支出1676.54</w:t>
      </w:r>
      <w:r>
        <w:rPr>
          <w:rFonts w:hint="eastAsia" w:ascii="仿宋_GB2312" w:eastAsia="仿宋_GB2312" w:cs="DengXian-Regular"/>
          <w:sz w:val="32"/>
          <w:szCs w:val="32"/>
        </w:rPr>
        <w:t>万元，完成年初预算的306%,</w:t>
      </w:r>
      <w:r>
        <w:rPr>
          <w:rFonts w:hint="eastAsia" w:ascii="仿宋_GB2312" w:eastAsia="仿宋_GB2312" w:cs="DengXian-Regular"/>
          <w:sz w:val="32"/>
          <w:szCs w:val="32"/>
        </w:rPr>
        <w:t>比年初预算增加1129.31</w:t>
      </w:r>
      <w:r>
        <w:rPr>
          <w:rFonts w:hint="eastAsia" w:ascii="仿宋_GB2312" w:eastAsia="仿宋_GB2312" w:cs="DengXian-Regular"/>
          <w:sz w:val="32"/>
          <w:szCs w:val="32"/>
        </w:rPr>
        <w:t>万元，决算数大于预算数主要是人员工资保险增长、项目支出的增加。</w:t>
      </w:r>
    </w:p>
    <w:p>
      <w:pPr>
        <w:numPr>
          <w:ilvl w:val="0"/>
          <w:numId w:val="1"/>
        </w:numPr>
        <w:adjustRightInd w:val="0"/>
        <w:snapToGrid w:val="0"/>
        <w:spacing w:after="0" w:line="580" w:lineRule="exact"/>
        <w:ind w:left="420" w:left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 xml:space="preserve">2018 </w:t>
      </w:r>
      <w:r>
        <w:rPr>
          <w:rFonts w:hint="eastAsia" w:ascii="仿宋_GB2312" w:eastAsia="仿宋_GB2312" w:cs="DengXian-Regular"/>
          <w:sz w:val="32"/>
          <w:szCs w:val="32"/>
        </w:rPr>
        <w:t>年度财政拨款支出1676.54</w:t>
      </w:r>
      <w:r>
        <w:rPr>
          <w:rFonts w:hint="eastAsia" w:ascii="仿宋_GB2312" w:eastAsia="仿宋_GB2312" w:cs="DengXian-Regular"/>
          <w:sz w:val="32"/>
          <w:szCs w:val="32"/>
        </w:rPr>
        <w:t>万元，主要用于以下方面：社会保障和就业（类）支出127.23</w:t>
      </w:r>
      <w:r>
        <w:rPr>
          <w:rFonts w:hint="eastAsia" w:ascii="仿宋_GB2312" w:eastAsia="仿宋_GB2312" w:cs="DengXian-Regular"/>
          <w:sz w:val="32"/>
          <w:szCs w:val="32"/>
        </w:rPr>
        <w:t>万元，占7.59%</w:t>
      </w:r>
      <w:r>
        <w:rPr>
          <w:rFonts w:hint="eastAsia" w:ascii="仿宋_GB2312" w:eastAsia="仿宋_GB2312" w:cs="DengXian-Regular"/>
          <w:sz w:val="32"/>
          <w:szCs w:val="32"/>
        </w:rPr>
        <w:t>；城乡社区（类）支出11.76</w:t>
      </w:r>
      <w:r>
        <w:rPr>
          <w:rFonts w:hint="eastAsia" w:ascii="仿宋_GB2312" w:eastAsia="仿宋_GB2312" w:cs="DengXian-Regular"/>
          <w:sz w:val="32"/>
          <w:szCs w:val="32"/>
        </w:rPr>
        <w:t>万元，占0.7%</w:t>
      </w:r>
      <w:r>
        <w:rPr>
          <w:rFonts w:hint="eastAsia" w:ascii="仿宋_GB2312" w:eastAsia="仿宋_GB2312" w:cs="DengXian-Regular"/>
          <w:sz w:val="32"/>
          <w:szCs w:val="32"/>
        </w:rPr>
        <w:t>；住房保障（类）支出1537.56</w:t>
      </w:r>
      <w:r>
        <w:rPr>
          <w:rFonts w:hint="eastAsia" w:ascii="仿宋_GB2312" w:eastAsia="仿宋_GB2312" w:cs="DengXian-Regular"/>
          <w:sz w:val="32"/>
          <w:szCs w:val="32"/>
        </w:rPr>
        <w:t>万元，占91.71%</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一般公共预算财政拨款基本支出决算情况说明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年度一般公共预算财政拨款基本支出1176.66</w:t>
      </w:r>
      <w:r>
        <w:rPr>
          <w:rFonts w:hint="eastAsia" w:ascii="仿宋_GB2312" w:eastAsia="仿宋_GB2312" w:cs="DengXian-Regular"/>
          <w:sz w:val="32"/>
          <w:szCs w:val="32"/>
        </w:rPr>
        <w:t>万元，其中：人员经费 1092.24</w:t>
      </w:r>
      <w:r>
        <w:rPr>
          <w:rFonts w:hint="eastAsia" w:ascii="仿宋_GB2312" w:eastAsia="仿宋_GB2312" w:cs="DengXian-Regular"/>
          <w:sz w:val="32"/>
          <w:szCs w:val="32"/>
        </w:rPr>
        <w:t>万元，主要包括基本工资、津贴补贴、奖金、绩效工资、机关事业单位基本养老保险缴费、职业年金缴费、职工基本医疗保险缴费、住房公积金、其他社会保障缴费、抚恤金、生活补助等；公用经费84.43</w:t>
      </w:r>
      <w:r>
        <w:rPr>
          <w:rFonts w:hint="eastAsia" w:ascii="仿宋_GB2312" w:eastAsia="仿宋_GB2312" w:cs="DengXian-Regular"/>
          <w:sz w:val="32"/>
          <w:szCs w:val="32"/>
        </w:rPr>
        <w:t>万元，主要包括办公费、水费、电费、邮电费、取暖费、物业管理费、差旅费、维修（护）费、工会经费、福利费、公务用车运行维护费、其他交通费用、其他商品和服务支出、办公设备购置等。</w:t>
      </w:r>
    </w:p>
    <w:p>
      <w:pPr>
        <w:numPr>
          <w:numId w:val="0"/>
        </w:numPr>
        <w:adjustRightInd w:val="0"/>
        <w:snapToGrid w:val="0"/>
        <w:spacing w:after="0" w:line="580" w:lineRule="exact"/>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五、一般公共预算财政拨款“三公” 经费支出决算情况说明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本部门2018年度一般公共预算财政拨款“三公”经费支出共计2.4万元，较年初预算无增减变化；比2017年度决算减少1.2万元，降低50%，主要是实行公车改革政策，公车使用频率下降。具体情况如下：</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黑体" w:eastAsia="黑体" w:hAnsiTheme="majorHAnsi" w:cstheme="majorBidi"/>
          <w:b w:val="0"/>
          <w:bCs w:val="0"/>
          <w:kern w:val="2"/>
          <w:sz w:val="32"/>
          <w:szCs w:val="32"/>
          <w:lang w:val="en-US" w:eastAsia="zh-CN" w:bidi="ar-SA"/>
        </w:rPr>
        <w:t>（一）因公出国（境）费支出0万元。</w:t>
      </w:r>
      <w:r>
        <w:rPr>
          <w:rFonts w:hint="eastAsia" w:ascii="仿宋_GB2312" w:eastAsia="仿宋_GB2312" w:cs="DengXian-Regular"/>
          <w:sz w:val="32"/>
          <w:szCs w:val="32"/>
        </w:rPr>
        <w:t>本部门2018年度</w:t>
      </w:r>
      <w:r>
        <w:rPr>
          <w:rFonts w:hint="eastAsia" w:ascii="仿宋_GB2312" w:eastAsia="仿宋_GB2312" w:cs="DengXian-Regular"/>
          <w:sz w:val="32"/>
          <w:szCs w:val="32"/>
        </w:rPr>
        <w:t>因公出国（境）团组0</w:t>
      </w:r>
      <w:r>
        <w:rPr>
          <w:rFonts w:hint="eastAsia" w:ascii="仿宋_GB2312" w:eastAsia="仿宋_GB2312" w:cs="DengXian-Regular"/>
          <w:sz w:val="32"/>
          <w:szCs w:val="32"/>
        </w:rPr>
        <w:t>个、共0</w:t>
      </w:r>
      <w:r>
        <w:rPr>
          <w:rFonts w:hint="eastAsia" w:ascii="仿宋_GB2312" w:eastAsia="仿宋_GB2312" w:cs="DengXian-Regular"/>
          <w:sz w:val="32"/>
          <w:szCs w:val="32"/>
        </w:rPr>
        <w:t>人/</w:t>
      </w:r>
      <w:r>
        <w:rPr>
          <w:rFonts w:hint="eastAsia" w:ascii="仿宋_GB2312" w:eastAsia="仿宋_GB2312" w:cs="DengXian-Regular"/>
          <w:sz w:val="32"/>
          <w:szCs w:val="32"/>
        </w:rPr>
        <w:t>参加其他单位组织的因公出国（境）团组0</w:t>
      </w:r>
      <w:r>
        <w:rPr>
          <w:rFonts w:hint="eastAsia" w:ascii="仿宋_GB2312" w:eastAsia="仿宋_GB2312" w:cs="DengXian-Regular"/>
          <w:sz w:val="32"/>
          <w:szCs w:val="32"/>
        </w:rPr>
        <w:t>个、共0</w:t>
      </w:r>
      <w:r>
        <w:rPr>
          <w:rFonts w:hint="eastAsia" w:ascii="仿宋_GB2312" w:eastAsia="仿宋_GB2312" w:cs="DengXian-Regular"/>
          <w:sz w:val="32"/>
          <w:szCs w:val="32"/>
        </w:rPr>
        <w:t>人/</w:t>
      </w:r>
      <w:r>
        <w:rPr>
          <w:rFonts w:hint="eastAsia" w:ascii="仿宋_GB2312" w:eastAsia="仿宋_GB2312" w:cs="DengXian-Regular"/>
          <w:sz w:val="32"/>
          <w:szCs w:val="32"/>
        </w:rPr>
        <w:t>无本单位组织的出国（境）团组。因公出国（境）费支出较年初预算无增减变化；较2017年度决算无增减变化。</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黑体" w:eastAsia="黑体" w:hAnsiTheme="majorHAnsi" w:cstheme="majorBidi"/>
          <w:b w:val="0"/>
          <w:bCs w:val="0"/>
          <w:kern w:val="2"/>
          <w:sz w:val="32"/>
          <w:szCs w:val="32"/>
          <w:lang w:val="en-US" w:eastAsia="zh-CN" w:bidi="ar-SA"/>
        </w:rPr>
        <w:t>（二）公务用车购置及运行维护费支出2.4万元。</w:t>
      </w:r>
      <w:r>
        <w:rPr>
          <w:rFonts w:hint="eastAsia" w:ascii="仿宋_GB2312" w:eastAsia="仿宋_GB2312" w:cs="DengXian-Regular"/>
          <w:sz w:val="32"/>
          <w:szCs w:val="32"/>
        </w:rPr>
        <w:t>本部门2018</w:t>
      </w:r>
      <w:r>
        <w:rPr>
          <w:rFonts w:hint="eastAsia" w:ascii="仿宋_GB2312" w:eastAsia="仿宋_GB2312" w:cs="DengXian-Regular"/>
          <w:sz w:val="32"/>
          <w:szCs w:val="32"/>
        </w:rPr>
        <w:t>年度公务用车购置及运行维护费较年初预算无增减变化</w:t>
      </w:r>
      <w:r>
        <w:rPr>
          <w:rFonts w:hint="eastAsia" w:ascii="仿宋_GB2312" w:eastAsia="仿宋_GB2312" w:cs="DengXian-Regular"/>
          <w:sz w:val="32"/>
          <w:szCs w:val="32"/>
        </w:rPr>
        <w:t>；比2017年度决算减少1.2万元，降低50%，主要是实行公车改革政策，公车使用频率下降。其中：</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黑体" w:eastAsia="黑体" w:hAnsiTheme="majorHAnsi" w:cstheme="majorBidi"/>
          <w:b w:val="0"/>
          <w:bCs w:val="0"/>
          <w:kern w:val="2"/>
          <w:sz w:val="32"/>
          <w:szCs w:val="32"/>
          <w:lang w:val="en-US" w:eastAsia="zh-CN" w:bidi="ar-SA"/>
        </w:rPr>
        <w:t>公务用车购置费支出0万元。</w:t>
      </w:r>
      <w:r>
        <w:rPr>
          <w:rFonts w:hint="eastAsia" w:ascii="仿宋_GB2312" w:eastAsia="仿宋_GB2312" w:cs="DengXian-Regular"/>
          <w:sz w:val="32"/>
          <w:szCs w:val="32"/>
        </w:rPr>
        <w:t>本部门2018年度公务用车购置数量0辆。公务用车购置费支出较年初预算无增减变化；较2017年度决算无增减变化。</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黑体" w:eastAsia="黑体" w:hAnsiTheme="majorHAnsi" w:cstheme="majorBidi"/>
          <w:b w:val="0"/>
          <w:bCs w:val="0"/>
          <w:kern w:val="2"/>
          <w:sz w:val="32"/>
          <w:szCs w:val="32"/>
          <w:lang w:val="en-US" w:eastAsia="zh-CN" w:bidi="ar-SA"/>
        </w:rPr>
        <w:t>公务用车运行维护费支出2.4万元。</w:t>
      </w:r>
      <w:r>
        <w:rPr>
          <w:rFonts w:hint="eastAsia" w:ascii="仿宋_GB2312" w:eastAsia="仿宋_GB2312" w:cs="DengXian-Regular"/>
          <w:sz w:val="32"/>
          <w:szCs w:val="32"/>
        </w:rPr>
        <w:t>本部门2018年末单位公务用车保有量1辆。公车运行维护费支出较年初预算无增减变化；比2017年度决算减少1.2万元，降低50%，主要是实行公车改革政策，公车使用频率下降。</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黑体" w:eastAsia="黑体" w:hAnsiTheme="majorHAnsi" w:cstheme="majorBidi"/>
          <w:b w:val="0"/>
          <w:bCs w:val="0"/>
          <w:kern w:val="2"/>
          <w:sz w:val="32"/>
          <w:szCs w:val="32"/>
          <w:lang w:val="en-US" w:eastAsia="zh-CN" w:bidi="ar-SA"/>
        </w:rPr>
        <w:t>（三）公务接待费支出0万元。</w:t>
      </w:r>
      <w:r>
        <w:rPr>
          <w:rFonts w:hint="eastAsia" w:ascii="仿宋_GB2312" w:eastAsia="仿宋_GB2312" w:cs="DengXian-Regular"/>
          <w:sz w:val="32"/>
          <w:szCs w:val="32"/>
        </w:rPr>
        <w:t>本部门2018年度公务接待共0批次、0人次。公务接待费支出较年初预算无增减变化；较2017年度决算无增减变化。</w:t>
      </w:r>
    </w:p>
    <w:p>
      <w:pPr>
        <w:adjustRightInd w:val="0"/>
        <w:snapToGrid w:val="0"/>
        <w:spacing w:line="584" w:lineRule="exact"/>
        <w:ind w:firstLine="640" w:firstLine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六、预算绩效情况说明</w:t>
      </w:r>
    </w:p>
    <w:p>
      <w:pPr>
        <w:adjustRightInd w:val="0"/>
        <w:snapToGrid w:val="0"/>
        <w:spacing w:line="584" w:lineRule="exact"/>
        <w:ind w:firstLine="640" w:firstLine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（一）预算绩效管理工作开展情况。</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根据财政预算绩效管理要求，我单位以“部门职责—工作活动—预算项目”为依据，确定部门预算项目和预算额度，清晰描述预算项目开展范围和内容，确定预算项目的绩效目标、绩效指标和评价标准，为预算绩效控制、绩效分析、绩效评价打下好的基础。</w:t>
      </w:r>
    </w:p>
    <w:p>
      <w:pPr>
        <w:adjustRightInd w:val="0"/>
        <w:snapToGrid w:val="0"/>
        <w:spacing w:line="584" w:lineRule="exact"/>
        <w:ind w:firstLine="640" w:firstLine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（二）项目绩效自评结果。</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为加强财政资金管理，提高财政资金的使用效益，遵循“科学规范、分类管理、绩效相关”的原则，运用科学、合理的技校评价方法，对本部门2018年度重点工作预算绩效情况进行客观、公正的评价。具体情况如下：</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廉租房相关项目工作取得显著进展</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完成公共租赁住房实物配租保障家庭的年度复核工作，2018年下半年完成公共租赁住房实物配租保障家庭的年度复核工作。加强对小务农场、政通小区、人和小区、民安小区四个已入住廉租房小区进行维修与回访工作，发现问题及时解决，让小区承租户住着安心。</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全面加强物业管理工作，不断提升物业管理水平</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加强物业服务企业资质备案管理工作，督导物业企业加强对服务人员的管理和培训，不断提高物业服务队伍的整体水平。认真调处每一件物业服务纠纷,努力减少物业服务矛盾纠纷。</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做好新建住宅小区物业管理方案落实的监督指导工作，落实率百分之百；继续做好住宅专项维修资金的归集管理工作。</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加强对人和、政通廉租房小区进行物业管理服务工作，对小区内物业服务管理达到标准规定管理，开展小区内各种特约服务，维修服务和其他经营服务，确保小区内各项服务及时到位。</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指导物业服务企业利用电子显示屏、宣传栏及通知的形式开展物业知识的宣传引导工作，加强安全物业知识的宣传力度，提高业主对物业服务的认知和自觉意识。</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积极引导物业服务企业进一步壮大物业服务队伍，重点培养物业服务企业做大做强，树立品牌，领跑服务。监督指导物业服务企业树立企业履约服务意识，竞争意识，文化品牌意识。</w:t>
      </w:r>
    </w:p>
    <w:p>
      <w:pPr>
        <w:adjustRightInd w:val="0"/>
        <w:snapToGrid w:val="0"/>
        <w:spacing w:line="584" w:lineRule="exact"/>
        <w:ind w:firstLine="640" w:firstLineChars="200"/>
        <w:rPr>
          <w:rFonts w:hint="eastAsia" w:ascii="仿宋_GB2312" w:eastAsia="仿宋_GB2312" w:cs="DengXian-Regular"/>
          <w:sz w:val="32"/>
          <w:szCs w:val="32"/>
        </w:rPr>
      </w:pPr>
    </w:p>
    <w:p>
      <w:pPr>
        <w:adjustRightInd w:val="0"/>
        <w:snapToGrid w:val="0"/>
        <w:spacing w:line="584" w:lineRule="exact"/>
        <w:ind w:firstLine="640" w:firstLine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（三）重点项目绩效评价结果。</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环境监测点人员经费支出”。为加强预算绩效管理，切实提高财政资金使用效益，进一步做好2018年绩效评价工作，我单位对环境监测点人员经费支出项目进行重点绩效评价。截止到12月31日这项工作已完成，取得了良好的成就，并将评价结果分别报送有关部门和单位领导，此项公开绩效评价结果为优秀。</w:t>
      </w:r>
    </w:p>
    <w:p>
      <w:pPr>
        <w:adjustRightInd w:val="0"/>
        <w:snapToGrid w:val="0"/>
        <w:spacing w:after="0" w:line="580" w:lineRule="exact"/>
        <w:ind w:firstLine="640" w:firstLineChars="200"/>
        <w:rPr>
          <w:rFonts w:ascii="仿宋_GB2312" w:eastAsia="仿宋_GB2312" w:cs="DengXian-Regular"/>
          <w:sz w:val="32"/>
          <w:szCs w:val="32"/>
        </w:rPr>
      </w:pPr>
    </w:p>
    <w:p>
      <w:pPr>
        <w:pStyle w:val="3"/>
        <w:numPr>
          <w:ilvl w:val="0"/>
          <w:numId w:val="2"/>
        </w:numPr>
        <w:spacing w:before="0" w:after="0" w:line="580" w:lineRule="exact"/>
        <w:ind w:firstLine="640" w:firstLine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其他</w:t>
      </w:r>
      <w:r>
        <w:rPr>
          <w:rFonts w:hint="eastAsia" w:ascii="黑体" w:eastAsia="黑体" w:hAnsiTheme="majorHAnsi" w:cstheme="majorBidi"/>
          <w:b w:val="0"/>
          <w:bCs w:val="0"/>
          <w:kern w:val="2"/>
          <w:sz w:val="32"/>
          <w:szCs w:val="32"/>
          <w:lang w:val="en-US" w:eastAsia="zh-CN" w:bidi="ar-SA"/>
        </w:rPr>
        <w:t>重要</w:t>
      </w:r>
      <w:r>
        <w:rPr>
          <w:rFonts w:hint="eastAsia" w:ascii="黑体" w:eastAsia="黑体" w:hAnsiTheme="majorHAnsi" w:cstheme="majorBidi"/>
          <w:b w:val="0"/>
          <w:bCs w:val="0"/>
          <w:kern w:val="2"/>
          <w:sz w:val="32"/>
          <w:szCs w:val="32"/>
          <w:lang w:val="en-US" w:eastAsia="zh-CN" w:bidi="ar-SA"/>
        </w:rPr>
        <w:t>事项的说明</w:t>
      </w:r>
    </w:p>
    <w:p>
      <w:pPr>
        <w:pStyle w:val="3"/>
        <w:numPr>
          <w:numId w:val="0"/>
        </w:numPr>
        <w:spacing w:before="0" w:after="0" w:line="580" w:lineRule="exact"/>
        <w:ind w:firstLine="640" w:firstLineChars="200"/>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84.43</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49.82</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59</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办公经费增加</w:t>
      </w:r>
      <w:r>
        <w:rPr>
          <w:rFonts w:hint="eastAsia" w:ascii="仿宋_GB2312" w:eastAsia="仿宋_GB2312" w:cs="DengXian-Regular"/>
          <w:sz w:val="32"/>
          <w:szCs w:val="32"/>
        </w:rPr>
        <w:t>。较</w:t>
      </w:r>
      <w:r>
        <w:rPr>
          <w:rFonts w:hint="eastAsia" w:ascii="仿宋_GB2312" w:eastAsia="仿宋_GB2312" w:cs="DengXian-Regular"/>
          <w:sz w:val="32"/>
          <w:szCs w:val="32"/>
          <w:lang w:eastAsia="zh-CN"/>
        </w:rPr>
        <w:t>201</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年度决算增加</w:t>
      </w:r>
      <w:r>
        <w:rPr>
          <w:rFonts w:hint="eastAsia" w:ascii="仿宋_GB2312" w:eastAsia="仿宋_GB2312" w:cs="DengXian-Regular"/>
          <w:sz w:val="32"/>
          <w:szCs w:val="32"/>
          <w:lang w:val="en-US" w:eastAsia="zh-CN"/>
        </w:rPr>
        <w:t>28.01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33</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办公经费增加</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w:t>
      </w:r>
      <w:r>
        <w:rPr>
          <w:rFonts w:hint="eastAsia" w:ascii="楷体_GB2312" w:eastAsia="楷体_GB2312" w:cs="DengXian-Bold"/>
          <w:lang w:eastAsia="zh-CN"/>
        </w:rPr>
        <w:t>二</w:t>
      </w:r>
      <w:r>
        <w:rPr>
          <w:rFonts w:hint="eastAsia" w:ascii="楷体_GB2312" w:eastAsia="楷体_GB2312" w:cs="DengXian-Bold"/>
        </w:rPr>
        <w:t>）</w:t>
      </w:r>
      <w:r>
        <w:rPr>
          <w:rFonts w:hint="eastAsia" w:ascii="黑体" w:eastAsia="黑体" w:hAnsiTheme="majorHAnsi" w:cstheme="majorBidi"/>
          <w:b w:val="0"/>
          <w:bCs w:val="0"/>
          <w:kern w:val="2"/>
          <w:sz w:val="32"/>
          <w:szCs w:val="32"/>
          <w:lang w:val="en-US" w:eastAsia="zh-CN" w:bidi="ar-SA"/>
        </w:rPr>
        <w:t>政府采购情况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w:t>
      </w:r>
      <w:r>
        <w:rPr>
          <w:rFonts w:hint="eastAsia" w:ascii="仿宋_GB2312" w:eastAsia="仿宋_GB2312" w:cs="DengXian-Regular"/>
          <w:sz w:val="32"/>
          <w:szCs w:val="32"/>
        </w:rPr>
        <w:t>年度政府采购支出总额49</w:t>
      </w:r>
      <w:r>
        <w:rPr>
          <w:rFonts w:hint="eastAsia" w:ascii="仿宋_GB2312" w:eastAsia="仿宋_GB2312" w:cs="DengXian-Regular"/>
          <w:sz w:val="32"/>
          <w:szCs w:val="32"/>
        </w:rPr>
        <w:t>万元，从采购类型来看，政府采购货物支出0万元、政府采购工程支出0万元、政府采购服务支出49万元。授予中小企业合同金</w:t>
      </w:r>
      <w:r>
        <w:rPr>
          <w:rFonts w:hint="eastAsia" w:ascii="仿宋_GB2312" w:eastAsia="仿宋_GB2312" w:cs="DengXian-Regular"/>
          <w:sz w:val="32"/>
          <w:szCs w:val="32"/>
          <w:lang w:val="en-US" w:eastAsia="zh-CN"/>
        </w:rPr>
        <w:t>49</w:t>
      </w:r>
      <w:r>
        <w:rPr>
          <w:rFonts w:hint="eastAsia" w:ascii="仿宋_GB2312" w:eastAsia="仿宋_GB2312" w:cs="DengXian-Regular"/>
          <w:sz w:val="32"/>
          <w:szCs w:val="32"/>
        </w:rPr>
        <w:t>万元，占政府采购支出总额的</w:t>
      </w:r>
      <w:r>
        <w:rPr>
          <w:rFonts w:hint="eastAsia" w:ascii="仿宋_GB2312" w:eastAsia="仿宋_GB2312" w:cs="DengXian-Regular"/>
          <w:sz w:val="32"/>
          <w:szCs w:val="32"/>
          <w:lang w:val="en-US" w:eastAsia="zh-CN"/>
        </w:rPr>
        <w:t>10</w:t>
      </w:r>
      <w:r>
        <w:rPr>
          <w:rFonts w:hint="eastAsia" w:ascii="仿宋_GB2312" w:eastAsia="仿宋_GB2312" w:cs="DengXian-Regular"/>
          <w:sz w:val="32"/>
          <w:szCs w:val="32"/>
        </w:rPr>
        <w:t>0%，其中授予小微企业合同金额0万元，占政府采购支出总额的 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w:t>
      </w:r>
      <w:r>
        <w:rPr>
          <w:rFonts w:hint="eastAsia" w:ascii="楷体_GB2312" w:eastAsia="楷体_GB2312" w:cs="DengXian-Bold"/>
          <w:lang w:eastAsia="zh-CN"/>
        </w:rPr>
        <w:t>三</w:t>
      </w:r>
      <w:r>
        <w:rPr>
          <w:rFonts w:hint="eastAsia" w:ascii="楷体_GB2312" w:eastAsia="楷体_GB2312" w:cs="DengXian-Bold"/>
        </w:rPr>
        <w:t>）</w:t>
      </w:r>
      <w:r>
        <w:rPr>
          <w:rFonts w:hint="eastAsia" w:ascii="黑体" w:eastAsia="黑体" w:hAnsiTheme="majorHAnsi" w:cstheme="majorBidi"/>
          <w:b w:val="0"/>
          <w:bCs w:val="0"/>
          <w:kern w:val="2"/>
          <w:sz w:val="32"/>
          <w:szCs w:val="32"/>
          <w:lang w:val="en-US" w:eastAsia="zh-CN" w:bidi="ar-SA"/>
        </w:rPr>
        <w:t>国有资产占用情况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辆，主要是</w:t>
      </w:r>
      <w:r>
        <w:rPr>
          <w:rFonts w:hint="eastAsia" w:ascii="仿宋_GB2312" w:eastAsia="仿宋_GB2312" w:cs="DengXian-Regular"/>
          <w:sz w:val="32"/>
          <w:szCs w:val="32"/>
          <w:lang w:eastAsia="zh-CN"/>
        </w:rPr>
        <w:t>单位业务基本保持不变，不需增加公务用车数量</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其他用车；单位价值50万元以上通用设备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单位一直没有单价</w:t>
      </w:r>
      <w:r>
        <w:rPr>
          <w:rFonts w:hint="eastAsia" w:ascii="仿宋_GB2312" w:eastAsia="仿宋_GB2312" w:cs="DengXian-Regular"/>
          <w:sz w:val="32"/>
          <w:szCs w:val="32"/>
          <w:lang w:val="en-US" w:eastAsia="zh-CN"/>
        </w:rPr>
        <w:t>50万元以上专业设备</w:t>
      </w:r>
      <w:r>
        <w:rPr>
          <w:rFonts w:hint="eastAsia" w:ascii="仿宋_GB2312" w:eastAsia="仿宋_GB2312" w:cs="DengXian-Regular"/>
          <w:sz w:val="32"/>
          <w:szCs w:val="32"/>
        </w:rPr>
        <w:t xml:space="preserve"> ，单位价值100万元以上专用设备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单位一直没有单价</w:t>
      </w:r>
      <w:r>
        <w:rPr>
          <w:rFonts w:hint="eastAsia" w:ascii="仿宋_GB2312" w:eastAsia="仿宋_GB2312" w:cs="DengXian-Regular"/>
          <w:sz w:val="32"/>
          <w:szCs w:val="32"/>
          <w:lang w:val="en-US" w:eastAsia="zh-CN"/>
        </w:rPr>
        <w:t>100万元以上专业设备</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w:t>
      </w:r>
      <w:r>
        <w:rPr>
          <w:rFonts w:hint="eastAsia" w:ascii="楷体_GB2312" w:eastAsia="楷体_GB2312" w:cs="DengXian-Bold"/>
          <w:lang w:eastAsia="zh-CN"/>
        </w:rPr>
        <w:t>四</w:t>
      </w:r>
      <w:r>
        <w:rPr>
          <w:rFonts w:hint="eastAsia" w:ascii="楷体_GB2312" w:eastAsia="楷体_GB2312" w:cs="DengXian-Bold"/>
        </w:rPr>
        <w:t>）</w:t>
      </w:r>
      <w:bookmarkStart w:id="0" w:name="_GoBack"/>
      <w:r>
        <w:rPr>
          <w:rFonts w:hint="eastAsia" w:ascii="黑体" w:eastAsia="黑体" w:hAnsiTheme="majorHAnsi" w:cstheme="majorBidi"/>
          <w:b w:val="0"/>
          <w:bCs w:val="0"/>
          <w:kern w:val="2"/>
          <w:sz w:val="32"/>
          <w:szCs w:val="32"/>
          <w:lang w:val="en-US" w:eastAsia="zh-CN" w:bidi="ar-SA"/>
        </w:rPr>
        <w:t>其他需要说明的情况</w:t>
      </w:r>
      <w:bookmarkEnd w:id="0"/>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1</w:t>
      </w:r>
      <w:r>
        <w:rPr>
          <w:rFonts w:hint="eastAsia" w:ascii="仿宋_GB2312" w:eastAsia="仿宋_GB2312" w:cs="DengXian-Regular"/>
          <w:sz w:val="32"/>
          <w:szCs w:val="32"/>
        </w:rPr>
        <w:t>、本部门2018</w:t>
      </w:r>
      <w:r>
        <w:rPr>
          <w:rFonts w:hint="eastAsia" w:ascii="仿宋_GB2312" w:eastAsia="仿宋_GB2312" w:cs="DengXian-Regular"/>
          <w:sz w:val="32"/>
          <w:szCs w:val="32"/>
        </w:rPr>
        <w:t>年度政府性基金、国有资本无收支及结转结余情况，故公开08</w:t>
      </w:r>
      <w:r>
        <w:rPr>
          <w:rFonts w:hint="eastAsia" w:ascii="仿宋_GB2312" w:eastAsia="仿宋_GB2312" w:cs="DengXian-Regular"/>
          <w:sz w:val="32"/>
          <w:szCs w:val="32"/>
        </w:rPr>
        <w:t>表（政府性基金预算财政拨款收入支出决算表）、公开09</w:t>
      </w:r>
      <w:r>
        <w:rPr>
          <w:rFonts w:hint="eastAsia" w:ascii="仿宋_GB2312" w:eastAsia="仿宋_GB2312" w:cs="DengXian-Regular"/>
          <w:sz w:val="32"/>
          <w:szCs w:val="32"/>
        </w:rPr>
        <w:t>表（国有资本经营预算财政拨款支出决算表）以空表列示。</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、由于决算公开表格中金额数值应当保留两位小数，公开数据为四舍五入计算结果，个别数据合计项与分项之和存在小数点后差额，特此说明。</w:t>
      </w:r>
    </w:p>
    <w:p>
      <w:pPr>
        <w:adjustRightInd w:val="0"/>
        <w:snapToGrid w:val="0"/>
        <w:spacing w:after="0" w:line="580" w:lineRule="exact"/>
        <w:ind w:firstLine="640" w:firstLineChars="200"/>
        <w:rPr>
          <w:rFonts w:hint="eastAsia" w:ascii="仿宋_GB2312" w:eastAsia="仿宋_GB2312" w:cs="DengXian-Regular"/>
          <w:sz w:val="32"/>
          <w:szCs w:val="3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96"/>
          <w:szCs w:val="96"/>
        </w:rPr>
      </w:pPr>
      <w:r>
        <w:rPr>
          <w:rFonts w:hint="eastAsia" w:ascii="黑体" w:hAnsi="宋体" w:eastAsia="黑体"/>
          <w:color w:val="000000"/>
          <w:sz w:val="96"/>
          <w:szCs w:val="96"/>
        </w:rPr>
        <w:t>第四部分</w:t>
      </w:r>
    </w:p>
    <w:p>
      <w:pPr>
        <w:widowControl/>
        <w:spacing w:line="1200" w:lineRule="exact"/>
        <w:jc w:val="center"/>
        <w:rPr>
          <w:color w:val="000000"/>
          <w:sz w:val="96"/>
          <w:szCs w:val="96"/>
        </w:rPr>
      </w:pPr>
      <w:r>
        <w:rPr>
          <w:rFonts w:hint="eastAsia" w:ascii="黑体" w:hAnsi="宋体" w:eastAsia="黑体"/>
          <w:color w:val="000000"/>
          <w:sz w:val="96"/>
          <w:szCs w:val="96"/>
        </w:rPr>
        <w:t>名词解释</w:t>
      </w:r>
    </w:p>
    <w:p>
      <w:pPr>
        <w:widowControl/>
        <w:spacing w:after="0" w:line="560" w:lineRule="exact"/>
        <w:ind w:firstLine="643" w:firstLineChars="200"/>
        <w:rPr>
          <w:rFonts w:hint="eastAsia" w:ascii="仿宋_GB2312" w:eastAsia="仿宋_GB2312" w:cs="DengXian-Regular"/>
          <w:sz w:val="32"/>
          <w:szCs w:val="32"/>
        </w:rPr>
      </w:pPr>
      <w:r>
        <w:rPr>
          <w:rFonts w:hint="eastAsia" w:ascii="仿宋_GB2312" w:hAnsi="宋体" w:eastAsia="仿宋_GB2312"/>
          <w:b/>
          <w:bCs/>
          <w:color w:val="000000"/>
          <w:kern w:val="0"/>
          <w:sz w:val="32"/>
          <w:szCs w:val="32"/>
        </w:rPr>
        <w:t>（一）财政拨款收入：</w:t>
      </w:r>
      <w:r>
        <w:rPr>
          <w:rFonts w:hint="eastAsia" w:ascii="仿宋_GB2312" w:eastAsia="仿宋_GB2312" w:cs="DengXian-Regular"/>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C4E07A-EA09-42AE-AB37-D51C4A05B98A}"/>
  </w:font>
  <w:font w:name="Arial">
    <w:panose1 w:val="020B0604020202020204"/>
    <w:charset w:val="01"/>
    <w:family w:val="swiss"/>
    <w:pitch w:val="default"/>
    <w:sig w:usb0="E0002AFF" w:usb1="C0007843" w:usb2="00000009" w:usb3="00000000" w:csb0="400001FF" w:csb1="FFFF0000"/>
    <w:embedRegular r:id="rId2" w:fontKey="{C7F5E52F-3267-49C3-969E-816AC5D2490A}"/>
  </w:font>
  <w:font w:name="黑体">
    <w:panose1 w:val="02010609060101010101"/>
    <w:charset w:val="86"/>
    <w:family w:val="auto"/>
    <w:pitch w:val="default"/>
    <w:sig w:usb0="800002BF" w:usb1="38CF7CFA" w:usb2="00000016" w:usb3="00000000" w:csb0="00040001" w:csb1="00000000"/>
    <w:embedRegular r:id="rId3" w:fontKey="{7387ED9C-3491-4D9B-9227-C5052CF91B54}"/>
  </w:font>
  <w:font w:name="Courier New">
    <w:panose1 w:val="02070309020205020404"/>
    <w:charset w:val="01"/>
    <w:family w:val="modern"/>
    <w:pitch w:val="default"/>
    <w:sig w:usb0="E0002AFF" w:usb1="C0007843" w:usb2="00000009" w:usb3="00000000" w:csb0="400001FF" w:csb1="FFFF0000"/>
    <w:embedRegular r:id="rId4" w:fontKey="{9D340986-4642-432A-AB3D-593C40C74A45}"/>
  </w:font>
  <w:font w:name="Symbol">
    <w:panose1 w:val="05050102010706020507"/>
    <w:charset w:val="02"/>
    <w:family w:val="roman"/>
    <w:pitch w:val="default"/>
    <w:sig w:usb0="00000000" w:usb1="00000000" w:usb2="00000000" w:usb3="00000000" w:csb0="80000000" w:csb1="00000000"/>
    <w:embedRegular r:id="rId5" w:fontKey="{4430A9E5-047A-4F44-A7B1-5DB29C531686}"/>
  </w:font>
  <w:font w:name="Calibri">
    <w:panose1 w:val="020F0502020204030204"/>
    <w:charset w:val="00"/>
    <w:family w:val="swiss"/>
    <w:pitch w:val="default"/>
    <w:sig w:usb0="E00002FF" w:usb1="4000ACFF" w:usb2="00000001" w:usb3="00000000" w:csb0="2000019F" w:csb1="00000000"/>
    <w:embedRegular r:id="rId6" w:fontKey="{5BAFA09C-D0DD-4DC6-B94B-A44762BF42FE}"/>
  </w:font>
  <w:font w:name="Cambria">
    <w:panose1 w:val="02040503050406030204"/>
    <w:charset w:val="00"/>
    <w:family w:val="roman"/>
    <w:pitch w:val="default"/>
    <w:sig w:usb0="E00002FF" w:usb1="400004FF" w:usb2="00000000" w:usb3="00000000" w:csb0="2000019F" w:csb1="00000000"/>
    <w:embedRegular r:id="rId7" w:fontKey="{0425D8CC-BCA4-40FC-B0BC-D89DF1AC9B00}"/>
  </w:font>
  <w:font w:name="仿宋_GB2312">
    <w:panose1 w:val="02010609030101010101"/>
    <w:charset w:val="86"/>
    <w:family w:val="modern"/>
    <w:pitch w:val="default"/>
    <w:sig w:usb0="00000000" w:usb1="00000000" w:usb2="00000000" w:usb3="00000000" w:csb0="00000000" w:csb1="00000000"/>
    <w:embedRegular r:id="rId8" w:fontKey="{54B286D5-3EFA-4E44-8B7C-5E3FDD35A6C7}"/>
  </w:font>
  <w:font w:name="ArialUnicodeMS">
    <w:altName w:val="Malgun Gothic"/>
    <w:panose1 w:val="00000000000000000000"/>
    <w:charset w:val="81"/>
    <w:family w:val="auto"/>
    <w:pitch w:val="default"/>
    <w:sig w:usb0="00000000" w:usb1="00000000" w:usb2="00000010" w:usb3="00000000" w:csb0="00080000" w:csb1="00000000"/>
    <w:embedRegular r:id="rId9" w:fontKey="{CA695505-91DB-4D1E-A97C-9064A2FCB071}"/>
  </w:font>
  <w:font w:name="Malgun Gothic">
    <w:panose1 w:val="020B0503020000020004"/>
    <w:charset w:val="81"/>
    <w:family w:val="auto"/>
    <w:pitch w:val="default"/>
    <w:sig w:usb0="900002AF" w:usb1="01D77CFB" w:usb2="00000012" w:usb3="00000000" w:csb0="00080001" w:csb1="00000000"/>
  </w:font>
  <w:font w:name="___WRD_EMBED_SUB_39">
    <w:altName w:val="微软雅黑"/>
    <w:panose1 w:val="00000000000000000000"/>
    <w:charset w:val="86"/>
    <w:family w:val="modern"/>
    <w:pitch w:val="default"/>
    <w:sig w:usb0="00000000" w:usb1="00000000" w:usb2="00000010" w:usb3="00000000" w:csb0="00040000" w:csb1="00000000"/>
    <w:embedRegular r:id="rId10" w:fontKey="{DFCD82D4-0F85-4EB9-9A53-C393C202A41F}"/>
  </w:font>
  <w:font w:name="微软雅黑">
    <w:panose1 w:val="020B0503020204020204"/>
    <w:charset w:val="86"/>
    <w:family w:val="auto"/>
    <w:pitch w:val="default"/>
    <w:sig w:usb0="80000287" w:usb1="280F3C52" w:usb2="00000016" w:usb3="00000000" w:csb0="0004001F" w:csb1="00000000"/>
  </w:font>
  <w:font w:name="MS-UIGothic,Bold">
    <w:altName w:val="Malgun Gothic"/>
    <w:panose1 w:val="00000000000000000000"/>
    <w:charset w:val="81"/>
    <w:family w:val="auto"/>
    <w:pitch w:val="default"/>
    <w:sig w:usb0="00000000" w:usb1="00000000" w:usb2="00000010" w:usb3="00000000" w:csb0="00080000" w:csb1="00000000"/>
    <w:embedRegular r:id="rId11" w:fontKey="{2691754F-A5B6-4EFA-A212-A82867D63A4A}"/>
  </w:font>
  <w:font w:name="DengXian-Regular">
    <w:altName w:val="宋体"/>
    <w:panose1 w:val="00000000000000000000"/>
    <w:charset w:val="86"/>
    <w:family w:val="auto"/>
    <w:pitch w:val="default"/>
    <w:sig w:usb0="00000000" w:usb1="00000000" w:usb2="00000010" w:usb3="00000000" w:csb0="00040000" w:csb1="00000000"/>
    <w:embedRegular r:id="rId12" w:fontKey="{392E3075-698C-4659-9EC7-16DF19F768FA}"/>
  </w:font>
  <w:font w:name="楷体_GB2312">
    <w:panose1 w:val="02010609030101010101"/>
    <w:charset w:val="86"/>
    <w:family w:val="modern"/>
    <w:pitch w:val="default"/>
    <w:sig w:usb0="00000000" w:usb1="00000000" w:usb2="00000000" w:usb3="00000000" w:csb0="00000000" w:csb1="00000000"/>
    <w:embedRegular r:id="rId13" w:fontKey="{4B3C78EE-EE35-496C-B255-BE8CFB157DF5}"/>
  </w:font>
  <w:font w:name="DengXian-Bold">
    <w:altName w:val="宋体"/>
    <w:panose1 w:val="00000000000000000000"/>
    <w:charset w:val="86"/>
    <w:family w:val="auto"/>
    <w:pitch w:val="default"/>
    <w:sig w:usb0="00000000" w:usb1="00000000" w:usb2="00000010" w:usb3="00000000" w:csb0="00040000" w:csb1="00000000"/>
    <w:embedRegular r:id="rId14" w:fontKey="{4B134EBF-08C6-40BB-8D1B-89318DDEB1C1}"/>
  </w:font>
  <w:font w:name="新宋体">
    <w:panose1 w:val="02010609030101010101"/>
    <w:charset w:val="86"/>
    <w:family w:val="modern"/>
    <w:pitch w:val="default"/>
    <w:sig w:usb0="00000003" w:usb1="288F0000" w:usb2="00000006" w:usb3="00000000" w:csb0="00040001" w:csb1="00000000"/>
  </w:font>
  <w:font w:name="华文仿宋">
    <w:panose1 w:val="02010600040101010101"/>
    <w:charset w:val="86"/>
    <w:family w:val="auto"/>
    <w:pitch w:val="default"/>
    <w:sig w:usb0="00000000" w:usb1="00000000" w:usb2="00000000" w:usb3="00000000" w:csb0="00000000" w:csb1="00000000"/>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3AB69C7"/>
    <w:multiLevelType w:val="singleLevel"/>
    <w:tmpl w:val="53AB69C7"/>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03535"/>
    <w:rsid w:val="00003F86"/>
    <w:rsid w:val="00011E2A"/>
    <w:rsid w:val="00020FAF"/>
    <w:rsid w:val="00022474"/>
    <w:rsid w:val="00024E7F"/>
    <w:rsid w:val="000430F2"/>
    <w:rsid w:val="00046DAD"/>
    <w:rsid w:val="000475A0"/>
    <w:rsid w:val="00050BB6"/>
    <w:rsid w:val="00057A0C"/>
    <w:rsid w:val="00067693"/>
    <w:rsid w:val="000838C3"/>
    <w:rsid w:val="000B0505"/>
    <w:rsid w:val="000B2446"/>
    <w:rsid w:val="000C088E"/>
    <w:rsid w:val="000D7C65"/>
    <w:rsid w:val="000E2F81"/>
    <w:rsid w:val="000F7959"/>
    <w:rsid w:val="00101F8D"/>
    <w:rsid w:val="0011477E"/>
    <w:rsid w:val="00117946"/>
    <w:rsid w:val="00117E2C"/>
    <w:rsid w:val="00120E4D"/>
    <w:rsid w:val="00146C47"/>
    <w:rsid w:val="00152FB8"/>
    <w:rsid w:val="00176658"/>
    <w:rsid w:val="0018239E"/>
    <w:rsid w:val="001B3410"/>
    <w:rsid w:val="001B7503"/>
    <w:rsid w:val="001C030D"/>
    <w:rsid w:val="001C4A84"/>
    <w:rsid w:val="001E5902"/>
    <w:rsid w:val="00233705"/>
    <w:rsid w:val="00246D99"/>
    <w:rsid w:val="00257266"/>
    <w:rsid w:val="00262306"/>
    <w:rsid w:val="00263E3D"/>
    <w:rsid w:val="00275CA2"/>
    <w:rsid w:val="002A65A5"/>
    <w:rsid w:val="002C04C4"/>
    <w:rsid w:val="002C64F9"/>
    <w:rsid w:val="002D08B0"/>
    <w:rsid w:val="002D1AE3"/>
    <w:rsid w:val="002F2ECE"/>
    <w:rsid w:val="003077F7"/>
    <w:rsid w:val="00341C8F"/>
    <w:rsid w:val="0035463A"/>
    <w:rsid w:val="003622A1"/>
    <w:rsid w:val="00391D9D"/>
    <w:rsid w:val="00397C24"/>
    <w:rsid w:val="003B6C51"/>
    <w:rsid w:val="003C1413"/>
    <w:rsid w:val="003C549F"/>
    <w:rsid w:val="003D5A16"/>
    <w:rsid w:val="003E7DB3"/>
    <w:rsid w:val="003F5EDC"/>
    <w:rsid w:val="00431175"/>
    <w:rsid w:val="00434177"/>
    <w:rsid w:val="004374A3"/>
    <w:rsid w:val="0044375F"/>
    <w:rsid w:val="0045745B"/>
    <w:rsid w:val="00474123"/>
    <w:rsid w:val="00492579"/>
    <w:rsid w:val="00493686"/>
    <w:rsid w:val="004B6E37"/>
    <w:rsid w:val="004C32BA"/>
    <w:rsid w:val="004C68EF"/>
    <w:rsid w:val="00516F70"/>
    <w:rsid w:val="00575922"/>
    <w:rsid w:val="005A3C0D"/>
    <w:rsid w:val="005A6C90"/>
    <w:rsid w:val="005B37E6"/>
    <w:rsid w:val="005B6888"/>
    <w:rsid w:val="005D7B8A"/>
    <w:rsid w:val="005E3FB0"/>
    <w:rsid w:val="005F4B66"/>
    <w:rsid w:val="005F5208"/>
    <w:rsid w:val="005F6873"/>
    <w:rsid w:val="00615C31"/>
    <w:rsid w:val="006316C9"/>
    <w:rsid w:val="00641318"/>
    <w:rsid w:val="0064296C"/>
    <w:rsid w:val="0064405D"/>
    <w:rsid w:val="00657572"/>
    <w:rsid w:val="0069187B"/>
    <w:rsid w:val="00695557"/>
    <w:rsid w:val="006A6825"/>
    <w:rsid w:val="006D4EA7"/>
    <w:rsid w:val="006F2B9A"/>
    <w:rsid w:val="0070012A"/>
    <w:rsid w:val="0070664B"/>
    <w:rsid w:val="007071B8"/>
    <w:rsid w:val="007155C2"/>
    <w:rsid w:val="00732EDA"/>
    <w:rsid w:val="007414DE"/>
    <w:rsid w:val="0075730F"/>
    <w:rsid w:val="00760C0C"/>
    <w:rsid w:val="007905A9"/>
    <w:rsid w:val="007A115A"/>
    <w:rsid w:val="007B0E8E"/>
    <w:rsid w:val="007E072B"/>
    <w:rsid w:val="007E5500"/>
    <w:rsid w:val="007F055B"/>
    <w:rsid w:val="00811C2F"/>
    <w:rsid w:val="00833522"/>
    <w:rsid w:val="00833D46"/>
    <w:rsid w:val="00836215"/>
    <w:rsid w:val="00840A97"/>
    <w:rsid w:val="00872B02"/>
    <w:rsid w:val="00873292"/>
    <w:rsid w:val="008A640A"/>
    <w:rsid w:val="008C0149"/>
    <w:rsid w:val="008D5DED"/>
    <w:rsid w:val="008E25CA"/>
    <w:rsid w:val="008F34FC"/>
    <w:rsid w:val="009375C7"/>
    <w:rsid w:val="00944CD7"/>
    <w:rsid w:val="00961190"/>
    <w:rsid w:val="00971EE3"/>
    <w:rsid w:val="009831B2"/>
    <w:rsid w:val="009A1ABE"/>
    <w:rsid w:val="009D2182"/>
    <w:rsid w:val="009E21A4"/>
    <w:rsid w:val="009F22C6"/>
    <w:rsid w:val="00A07E50"/>
    <w:rsid w:val="00A12C15"/>
    <w:rsid w:val="00A15397"/>
    <w:rsid w:val="00A35CE0"/>
    <w:rsid w:val="00A4462E"/>
    <w:rsid w:val="00A44AA4"/>
    <w:rsid w:val="00A61623"/>
    <w:rsid w:val="00A84687"/>
    <w:rsid w:val="00A85A35"/>
    <w:rsid w:val="00AA0458"/>
    <w:rsid w:val="00AB0A0E"/>
    <w:rsid w:val="00AD3B6E"/>
    <w:rsid w:val="00AE6A5C"/>
    <w:rsid w:val="00AF6D31"/>
    <w:rsid w:val="00B015E3"/>
    <w:rsid w:val="00B03657"/>
    <w:rsid w:val="00B1751F"/>
    <w:rsid w:val="00B335FC"/>
    <w:rsid w:val="00B50F96"/>
    <w:rsid w:val="00B52D33"/>
    <w:rsid w:val="00B56722"/>
    <w:rsid w:val="00B67044"/>
    <w:rsid w:val="00B74D39"/>
    <w:rsid w:val="00B827C6"/>
    <w:rsid w:val="00B91DA4"/>
    <w:rsid w:val="00B95352"/>
    <w:rsid w:val="00BA7174"/>
    <w:rsid w:val="00BB7C98"/>
    <w:rsid w:val="00C12630"/>
    <w:rsid w:val="00C20226"/>
    <w:rsid w:val="00C34562"/>
    <w:rsid w:val="00C3774E"/>
    <w:rsid w:val="00C57456"/>
    <w:rsid w:val="00C63A68"/>
    <w:rsid w:val="00C65387"/>
    <w:rsid w:val="00C87FAB"/>
    <w:rsid w:val="00C91FF7"/>
    <w:rsid w:val="00C92D15"/>
    <w:rsid w:val="00C94E53"/>
    <w:rsid w:val="00CB0B16"/>
    <w:rsid w:val="00CE3FC3"/>
    <w:rsid w:val="00CE490E"/>
    <w:rsid w:val="00D0048E"/>
    <w:rsid w:val="00D16E6B"/>
    <w:rsid w:val="00D22B3D"/>
    <w:rsid w:val="00D23E7A"/>
    <w:rsid w:val="00D56D8F"/>
    <w:rsid w:val="00D61063"/>
    <w:rsid w:val="00D73238"/>
    <w:rsid w:val="00DB2CD7"/>
    <w:rsid w:val="00DB35AF"/>
    <w:rsid w:val="00DD72D7"/>
    <w:rsid w:val="00DE6CA4"/>
    <w:rsid w:val="00DF5B88"/>
    <w:rsid w:val="00E0589E"/>
    <w:rsid w:val="00E0697F"/>
    <w:rsid w:val="00E10E6B"/>
    <w:rsid w:val="00E171D2"/>
    <w:rsid w:val="00E241FA"/>
    <w:rsid w:val="00E2595E"/>
    <w:rsid w:val="00E35374"/>
    <w:rsid w:val="00E50C19"/>
    <w:rsid w:val="00E64655"/>
    <w:rsid w:val="00E73081"/>
    <w:rsid w:val="00E856C9"/>
    <w:rsid w:val="00E90CD7"/>
    <w:rsid w:val="00EA4F68"/>
    <w:rsid w:val="00EB6A8B"/>
    <w:rsid w:val="00EC6814"/>
    <w:rsid w:val="00EC7B67"/>
    <w:rsid w:val="00ED2211"/>
    <w:rsid w:val="00ED411D"/>
    <w:rsid w:val="00EF38C6"/>
    <w:rsid w:val="00F337F3"/>
    <w:rsid w:val="00F46806"/>
    <w:rsid w:val="00F567D8"/>
    <w:rsid w:val="00F60E6C"/>
    <w:rsid w:val="00F679C7"/>
    <w:rsid w:val="00F71541"/>
    <w:rsid w:val="00F75563"/>
    <w:rsid w:val="00F7711A"/>
    <w:rsid w:val="00F80962"/>
    <w:rsid w:val="00F80C72"/>
    <w:rsid w:val="00F90025"/>
    <w:rsid w:val="00FA0D58"/>
    <w:rsid w:val="00FA1580"/>
    <w:rsid w:val="00FA56F4"/>
    <w:rsid w:val="00FB1B45"/>
    <w:rsid w:val="00FB4EDA"/>
    <w:rsid w:val="00FD3BD5"/>
    <w:rsid w:val="00FE3DC8"/>
    <w:rsid w:val="00FE49E1"/>
    <w:rsid w:val="00FF67F0"/>
    <w:rsid w:val="04073F84"/>
    <w:rsid w:val="0B60750A"/>
    <w:rsid w:val="10686488"/>
    <w:rsid w:val="10DF728A"/>
    <w:rsid w:val="1264200E"/>
    <w:rsid w:val="141C5B77"/>
    <w:rsid w:val="18D8339D"/>
    <w:rsid w:val="1A21388F"/>
    <w:rsid w:val="1A570D2F"/>
    <w:rsid w:val="28FB0B8D"/>
    <w:rsid w:val="2D2B7942"/>
    <w:rsid w:val="2D46481D"/>
    <w:rsid w:val="2E733B28"/>
    <w:rsid w:val="31852B5A"/>
    <w:rsid w:val="32D01238"/>
    <w:rsid w:val="370164E0"/>
    <w:rsid w:val="3DD76A88"/>
    <w:rsid w:val="3DFC59A8"/>
    <w:rsid w:val="3ECF245E"/>
    <w:rsid w:val="3FB96314"/>
    <w:rsid w:val="40183D69"/>
    <w:rsid w:val="401F55BE"/>
    <w:rsid w:val="444C5B6E"/>
    <w:rsid w:val="53A44FAF"/>
    <w:rsid w:val="53D7769D"/>
    <w:rsid w:val="594329EC"/>
    <w:rsid w:val="5BEE1540"/>
    <w:rsid w:val="5DE61A5D"/>
    <w:rsid w:val="63C04243"/>
    <w:rsid w:val="649C01C7"/>
    <w:rsid w:val="6956083C"/>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b/>
      <w:bCs/>
      <w:sz w:val="28"/>
      <w:szCs w:val="28"/>
    </w:rPr>
  </w:style>
  <w:style w:type="character" w:default="1" w:styleId="15">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20"/>
    <w:semiHidden/>
    <w:qFormat/>
    <w:uiPriority w:val="99"/>
    <w:pPr>
      <w:ind w:left="100" w:leftChars="2500"/>
    </w:pPr>
  </w:style>
  <w:style w:type="paragraph" w:styleId="7">
    <w:name w:val="Balloon Text"/>
    <w:basedOn w:val="1"/>
    <w:link w:val="21"/>
    <w:semiHidden/>
    <w:qFormat/>
    <w:uiPriority w:val="99"/>
    <w:rPr>
      <w:sz w:val="18"/>
      <w:szCs w:val="18"/>
    </w:rPr>
  </w:style>
  <w:style w:type="paragraph" w:styleId="8">
    <w:name w:val="footer"/>
    <w:basedOn w:val="1"/>
    <w:link w:val="22"/>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4"/>
    <w:qFormat/>
    <w:uiPriority w:val="99"/>
    <w:pPr>
      <w:widowControl/>
      <w:spacing w:after="200" w:line="276" w:lineRule="auto"/>
      <w:jc w:val="left"/>
    </w:pPr>
    <w:rPr>
      <w:rFonts w:ascii="Calibri" w:hAnsi="Calibri"/>
      <w:i/>
      <w:iCs/>
      <w:color w:val="F0A22E"/>
      <w:spacing w:val="15"/>
      <w:kern w:val="0"/>
      <w:sz w:val="24"/>
    </w:rPr>
  </w:style>
  <w:style w:type="paragraph" w:styleId="11">
    <w:name w:val="Normal (Web)"/>
    <w:basedOn w:val="1"/>
    <w:qFormat/>
    <w:uiPriority w:val="99"/>
    <w:pPr>
      <w:widowControl/>
      <w:spacing w:before="100" w:beforeAutospacing="1" w:after="100" w:afterAutospacing="1" w:line="240" w:lineRule="auto"/>
      <w:jc w:val="left"/>
    </w:pPr>
    <w:rPr>
      <w:rFonts w:ascii="宋体" w:hAnsi="宋体" w:cs="宋体"/>
      <w:kern w:val="0"/>
      <w:sz w:val="24"/>
    </w:rPr>
  </w:style>
  <w:style w:type="paragraph" w:styleId="12">
    <w:name w:val="Title"/>
    <w:basedOn w:val="1"/>
    <w:next w:val="1"/>
    <w:link w:val="25"/>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Heading 1 Char"/>
    <w:basedOn w:val="15"/>
    <w:link w:val="2"/>
    <w:qFormat/>
    <w:locked/>
    <w:uiPriority w:val="99"/>
    <w:rPr>
      <w:rFonts w:ascii="Times New Roman" w:hAnsi="Times New Roman" w:eastAsia="宋体" w:cs="Times New Roman"/>
      <w:b/>
      <w:bCs/>
      <w:kern w:val="44"/>
      <w:sz w:val="44"/>
      <w:szCs w:val="44"/>
    </w:rPr>
  </w:style>
  <w:style w:type="character" w:customStyle="1" w:styleId="17">
    <w:name w:val="Heading 2 Char"/>
    <w:basedOn w:val="15"/>
    <w:link w:val="3"/>
    <w:qFormat/>
    <w:locked/>
    <w:uiPriority w:val="99"/>
    <w:rPr>
      <w:rFonts w:ascii="Calibri" w:hAnsi="Calibri" w:eastAsia="宋体" w:cs="Times New Roman"/>
      <w:b/>
      <w:bCs/>
      <w:sz w:val="32"/>
      <w:szCs w:val="32"/>
    </w:rPr>
  </w:style>
  <w:style w:type="character" w:customStyle="1" w:styleId="18">
    <w:name w:val="Heading 3 Char"/>
    <w:basedOn w:val="15"/>
    <w:link w:val="4"/>
    <w:qFormat/>
    <w:locked/>
    <w:uiPriority w:val="99"/>
    <w:rPr>
      <w:rFonts w:ascii="Times New Roman" w:hAnsi="Times New Roman" w:eastAsia="宋体" w:cs="Times New Roman"/>
      <w:b/>
      <w:bCs/>
      <w:sz w:val="32"/>
      <w:szCs w:val="32"/>
    </w:rPr>
  </w:style>
  <w:style w:type="character" w:customStyle="1" w:styleId="19">
    <w:name w:val="Heading 4 Char"/>
    <w:basedOn w:val="15"/>
    <w:link w:val="5"/>
    <w:qFormat/>
    <w:locked/>
    <w:uiPriority w:val="99"/>
    <w:rPr>
      <w:rFonts w:ascii="Calibri" w:hAnsi="Calibri" w:eastAsia="宋体" w:cs="Times New Roman"/>
      <w:b/>
      <w:bCs/>
      <w:sz w:val="28"/>
      <w:szCs w:val="28"/>
    </w:rPr>
  </w:style>
  <w:style w:type="character" w:customStyle="1" w:styleId="20">
    <w:name w:val="Date Char"/>
    <w:basedOn w:val="15"/>
    <w:link w:val="6"/>
    <w:semiHidden/>
    <w:qFormat/>
    <w:locked/>
    <w:uiPriority w:val="99"/>
    <w:rPr>
      <w:rFonts w:ascii="Times New Roman" w:hAnsi="Times New Roman" w:eastAsia="宋体" w:cs="Times New Roman"/>
      <w:sz w:val="24"/>
      <w:szCs w:val="24"/>
    </w:rPr>
  </w:style>
  <w:style w:type="character" w:customStyle="1" w:styleId="21">
    <w:name w:val="Balloon Text Char"/>
    <w:basedOn w:val="15"/>
    <w:link w:val="7"/>
    <w:semiHidden/>
    <w:qFormat/>
    <w:locked/>
    <w:uiPriority w:val="99"/>
    <w:rPr>
      <w:rFonts w:ascii="Times New Roman" w:hAnsi="Times New Roman" w:eastAsia="宋体" w:cs="Times New Roman"/>
      <w:sz w:val="18"/>
      <w:szCs w:val="18"/>
    </w:rPr>
  </w:style>
  <w:style w:type="character" w:customStyle="1" w:styleId="22">
    <w:name w:val="Footer Char"/>
    <w:basedOn w:val="15"/>
    <w:link w:val="8"/>
    <w:qFormat/>
    <w:locked/>
    <w:uiPriority w:val="99"/>
    <w:rPr>
      <w:rFonts w:cs="Times New Roman"/>
      <w:sz w:val="18"/>
      <w:szCs w:val="18"/>
    </w:rPr>
  </w:style>
  <w:style w:type="character" w:customStyle="1" w:styleId="23">
    <w:name w:val="Header Char"/>
    <w:basedOn w:val="15"/>
    <w:link w:val="9"/>
    <w:qFormat/>
    <w:locked/>
    <w:uiPriority w:val="99"/>
    <w:rPr>
      <w:rFonts w:cs="Times New Roman"/>
      <w:sz w:val="18"/>
      <w:szCs w:val="18"/>
    </w:rPr>
  </w:style>
  <w:style w:type="character" w:customStyle="1" w:styleId="24">
    <w:name w:val="Subtitle Char"/>
    <w:basedOn w:val="15"/>
    <w:link w:val="10"/>
    <w:qFormat/>
    <w:locked/>
    <w:uiPriority w:val="99"/>
    <w:rPr>
      <w:rFonts w:ascii="Calibri" w:hAnsi="Calibri" w:eastAsia="宋体" w:cs="Times New Roman"/>
      <w:i/>
      <w:iCs/>
      <w:color w:val="F0A22E"/>
      <w:spacing w:val="15"/>
      <w:kern w:val="0"/>
      <w:sz w:val="24"/>
      <w:szCs w:val="24"/>
    </w:rPr>
  </w:style>
  <w:style w:type="character" w:customStyle="1" w:styleId="25">
    <w:name w:val="Title Char"/>
    <w:basedOn w:val="15"/>
    <w:link w:val="12"/>
    <w:qFormat/>
    <w:locked/>
    <w:uiPriority w:val="99"/>
    <w:rPr>
      <w:rFonts w:ascii="Calibri" w:hAnsi="Calibri" w:eastAsia="宋体" w:cs="Times New Roman"/>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7">
    <w:name w:val="No Spacing Char"/>
    <w:basedOn w:val="15"/>
    <w:link w:val="26"/>
    <w:qFormat/>
    <w:locked/>
    <w:uiPriority w:val="99"/>
    <w:rPr>
      <w:rFonts w:cs="Times New Roman"/>
      <w:sz w:val="22"/>
      <w:szCs w:val="22"/>
      <w:lang w:val="en-US" w:eastAsia="zh-CN" w:bidi="ar-SA"/>
    </w:rPr>
  </w:style>
  <w:style w:type="character" w:customStyle="1" w:styleId="28">
    <w:name w:val="Style1"/>
    <w:basedOn w:val="15"/>
    <w:qFormat/>
    <w:uiPriority w:val="99"/>
    <w:rPr>
      <w:rFonts w:ascii="Cambria" w:hAnsi="黑体" w:eastAsia="黑体" w:cs="Times New Roman"/>
      <w:sz w:val="22"/>
      <w:szCs w:val="22"/>
      <w:lang w:eastAsia="zh-CN"/>
    </w:rPr>
  </w:style>
  <w:style w:type="character" w:customStyle="1" w:styleId="29">
    <w:name w:val="Style2"/>
    <w:basedOn w:val="15"/>
    <w:qFormat/>
    <w:uiPriority w:val="99"/>
    <w:rPr>
      <w:rFonts w:ascii="Cambria" w:hAnsi="黑体" w:eastAsia="黑体" w:cs="Times New Roman"/>
      <w:sz w:val="22"/>
      <w:szCs w:val="22"/>
      <w:lang w:eastAsia="zh-CN"/>
    </w:rPr>
  </w:style>
  <w:style w:type="character" w:customStyle="1" w:styleId="30">
    <w:name w:val="Style3"/>
    <w:basedOn w:val="15"/>
    <w:qFormat/>
    <w:uiPriority w:val="99"/>
    <w:rPr>
      <w:rFonts w:ascii="Cambria" w:hAnsi="黑体" w:eastAsia="黑体" w:cs="Times New Roman"/>
      <w:sz w:val="22"/>
      <w:szCs w:val="22"/>
      <w:lang w:eastAsia="zh-CN"/>
    </w:rPr>
  </w:style>
  <w:style w:type="character" w:customStyle="1" w:styleId="31">
    <w:name w:val="Style4"/>
    <w:basedOn w:val="15"/>
    <w:qFormat/>
    <w:uiPriority w:val="99"/>
    <w:rPr>
      <w:rFonts w:ascii="Cambria" w:hAnsi="黑体" w:eastAsia="黑体" w:cs="Times New Roman"/>
      <w:sz w:val="22"/>
      <w:szCs w:val="22"/>
      <w:lang w:eastAsia="zh-CN"/>
    </w:rPr>
  </w:style>
  <w:style w:type="character" w:customStyle="1" w:styleId="32">
    <w:name w:val="Style5"/>
    <w:basedOn w:val="15"/>
    <w:qFormat/>
    <w:uiPriority w:val="99"/>
    <w:rPr>
      <w:rFonts w:ascii="Cambria" w:hAnsi="黑体" w:eastAsia="黑体" w:cs="Times New Roman"/>
      <w:sz w:val="22"/>
      <w:szCs w:val="22"/>
      <w:lang w:eastAsia="zh-CN"/>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13</Pages>
  <Words>720</Words>
  <Characters>4105</Characters>
  <Lines>0</Lines>
  <Paragraphs>0</Paragraphs>
  <TotalTime>9</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2019-10-16T05:51:00Z</dcterms:created>
  <dc:creator>User</dc:creator>
  <cp:lastModifiedBy>a...粉色</cp:lastModifiedBy>
  <cp:lastPrinted>2019-09-27T00:42:00Z</cp:lastPrinted>
  <dcterms:modified xsi:type="dcterms:W3CDTF">2021-05-27T08:18:52Z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CE6FC098AF1C4DCCB4E83035F5B42722</vt:lpwstr>
  </property>
</Properties>
</file>